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02E8" w14:textId="22D5B2E9" w:rsidR="005D32AD" w:rsidRPr="00436CFB" w:rsidRDefault="005D32AD" w:rsidP="00436CFB">
      <w:pPr>
        <w:spacing w:after="360"/>
        <w:jc w:val="center"/>
        <w:rPr>
          <w:spacing w:val="10"/>
          <w:sz w:val="26"/>
          <w:szCs w:val="26"/>
        </w:rPr>
      </w:pPr>
      <w:bookmarkStart w:id="0" w:name="_Hlk142993871"/>
      <w:r w:rsidRPr="00436CFB">
        <w:rPr>
          <w:b/>
          <w:bCs/>
          <w:color w:val="000000"/>
          <w:spacing w:val="10"/>
          <w:sz w:val="26"/>
          <w:szCs w:val="26"/>
        </w:rPr>
        <w:t xml:space="preserve">Lei nº </w:t>
      </w:r>
      <w:r w:rsidR="008B7413">
        <w:rPr>
          <w:b/>
          <w:bCs/>
          <w:color w:val="000000"/>
          <w:spacing w:val="10"/>
          <w:sz w:val="26"/>
          <w:szCs w:val="26"/>
        </w:rPr>
        <w:t>18.418</w:t>
      </w:r>
      <w:r w:rsidRPr="00436CFB">
        <w:rPr>
          <w:b/>
          <w:bCs/>
          <w:color w:val="000000"/>
          <w:spacing w:val="10"/>
          <w:sz w:val="26"/>
          <w:szCs w:val="26"/>
        </w:rPr>
        <w:t xml:space="preserve">, de </w:t>
      </w:r>
      <w:r w:rsidR="000C5419">
        <w:rPr>
          <w:b/>
          <w:bCs/>
          <w:color w:val="000000"/>
          <w:spacing w:val="10"/>
          <w:sz w:val="26"/>
          <w:szCs w:val="26"/>
        </w:rPr>
        <w:t>13</w:t>
      </w:r>
      <w:r w:rsidRPr="00436CFB">
        <w:rPr>
          <w:b/>
          <w:bCs/>
          <w:color w:val="000000"/>
          <w:spacing w:val="10"/>
          <w:sz w:val="26"/>
          <w:szCs w:val="26"/>
        </w:rPr>
        <w:t xml:space="preserve"> de </w:t>
      </w:r>
      <w:r w:rsidR="00D22A76">
        <w:rPr>
          <w:b/>
          <w:bCs/>
          <w:color w:val="000000"/>
          <w:spacing w:val="10"/>
          <w:sz w:val="26"/>
          <w:szCs w:val="26"/>
        </w:rPr>
        <w:t xml:space="preserve">março </w:t>
      </w:r>
      <w:r w:rsidRPr="00436CFB">
        <w:rPr>
          <w:b/>
          <w:bCs/>
          <w:color w:val="000000"/>
          <w:spacing w:val="10"/>
          <w:sz w:val="26"/>
          <w:szCs w:val="26"/>
        </w:rPr>
        <w:t>de 202</w:t>
      </w:r>
      <w:r w:rsidR="00E7546E" w:rsidRPr="00436CFB">
        <w:rPr>
          <w:b/>
          <w:bCs/>
          <w:color w:val="000000"/>
          <w:spacing w:val="10"/>
          <w:sz w:val="26"/>
          <w:szCs w:val="26"/>
        </w:rPr>
        <w:t>6</w:t>
      </w:r>
    </w:p>
    <w:p w14:paraId="446564A2" w14:textId="43BBCFAD" w:rsidR="005D32AD" w:rsidRPr="00436CFB" w:rsidRDefault="001F23A0" w:rsidP="00436CFB">
      <w:pPr>
        <w:pStyle w:val="Corpodetexto"/>
        <w:spacing w:after="360"/>
        <w:ind w:left="2268" w:firstLine="1418"/>
        <w:jc w:val="both"/>
        <w:rPr>
          <w:i/>
          <w:spacing w:val="10"/>
          <w:sz w:val="26"/>
        </w:rPr>
      </w:pPr>
      <w:r w:rsidRPr="00436CFB">
        <w:rPr>
          <w:i/>
          <w:spacing w:val="10"/>
          <w:sz w:val="26"/>
        </w:rPr>
        <w:t>Altera as Leis nº 15.213, de 19 de novembro de 2013, nº 15.567, de 30 de outubro de 2014, nº 17.386, de 14 de julho de 2021, nº 17.989, de 22 de julho de 2024, nº 18.067, de 18 de dezembro de 2024, nº 18.147, de 26 de março de 2025, e nº 18.353, de 15 de dezembro de 2025, que autorizaram o Poder Executivo a contratar operações de crédito, e a Lei</w:t>
      </w:r>
      <w:r w:rsidRPr="00436CFB">
        <w:rPr>
          <w:spacing w:val="10"/>
        </w:rPr>
        <w:t xml:space="preserve"> </w:t>
      </w:r>
      <w:r w:rsidRPr="00436CFB">
        <w:rPr>
          <w:i/>
          <w:spacing w:val="10"/>
          <w:sz w:val="26"/>
        </w:rPr>
        <w:t>nº 7.964, de 16 de julho de 1992, que dispõe sobre o Fundo de Expansão da Agropecuária e da Pesca.</w:t>
      </w:r>
    </w:p>
    <w:p w14:paraId="00D27957" w14:textId="77777777" w:rsidR="005D32AD" w:rsidRPr="00436CFB" w:rsidRDefault="005D32AD" w:rsidP="00436CFB">
      <w:pPr>
        <w:suppressAutoHyphens/>
        <w:spacing w:after="360" w:line="360" w:lineRule="atLeast"/>
        <w:ind w:firstLine="2835"/>
        <w:jc w:val="both"/>
        <w:rPr>
          <w:color w:val="000000"/>
          <w:spacing w:val="10"/>
          <w:sz w:val="26"/>
          <w:szCs w:val="26"/>
        </w:rPr>
      </w:pPr>
      <w:r w:rsidRPr="00436CFB">
        <w:rPr>
          <w:b/>
          <w:bCs/>
          <w:color w:val="000000"/>
          <w:spacing w:val="10"/>
          <w:sz w:val="26"/>
          <w:szCs w:val="26"/>
        </w:rPr>
        <w:t>O GOVERNADOR DO ESTADO DE SÃO PAULO:</w:t>
      </w:r>
    </w:p>
    <w:p w14:paraId="2585B3F5" w14:textId="788A9954" w:rsidR="005D32AD" w:rsidRPr="00436CFB" w:rsidRDefault="005D32AD" w:rsidP="00436CFB">
      <w:pPr>
        <w:suppressAutoHyphens/>
        <w:spacing w:after="360" w:line="360" w:lineRule="atLeast"/>
        <w:ind w:firstLine="2835"/>
        <w:jc w:val="both"/>
        <w:rPr>
          <w:b/>
          <w:bCs/>
          <w:spacing w:val="10"/>
          <w:sz w:val="26"/>
          <w:szCs w:val="26"/>
        </w:rPr>
      </w:pPr>
      <w:r w:rsidRPr="00436CFB">
        <w:rPr>
          <w:b/>
          <w:bCs/>
          <w:color w:val="000000"/>
          <w:spacing w:val="10"/>
          <w:sz w:val="26"/>
          <w:szCs w:val="26"/>
        </w:rPr>
        <w:t>Faço saber que a Assembleia Legislativa decreta e eu promulgo a seguinte lei</w:t>
      </w:r>
      <w:r w:rsidRPr="00436CFB">
        <w:rPr>
          <w:b/>
          <w:bCs/>
          <w:spacing w:val="10"/>
          <w:sz w:val="26"/>
          <w:szCs w:val="26"/>
        </w:rPr>
        <w:t>:</w:t>
      </w:r>
    </w:p>
    <w:p w14:paraId="33A06A2F" w14:textId="6CC2EAA3" w:rsidR="00146034" w:rsidRPr="00436CFB" w:rsidRDefault="005D32AD" w:rsidP="001F23A0">
      <w:pPr>
        <w:suppressAutoHyphens/>
        <w:spacing w:after="240" w:line="360" w:lineRule="atLeast"/>
        <w:ind w:firstLine="2835"/>
        <w:jc w:val="both"/>
        <w:rPr>
          <w:spacing w:val="10"/>
          <w:sz w:val="26"/>
          <w:szCs w:val="26"/>
        </w:rPr>
      </w:pPr>
      <w:r w:rsidRPr="00436CFB">
        <w:rPr>
          <w:b/>
          <w:bCs/>
          <w:spacing w:val="10"/>
          <w:sz w:val="26"/>
          <w:szCs w:val="26"/>
        </w:rPr>
        <w:t>Artigo 1º -</w:t>
      </w:r>
      <w:r w:rsidRPr="00436CFB">
        <w:rPr>
          <w:spacing w:val="10"/>
          <w:sz w:val="26"/>
          <w:szCs w:val="26"/>
        </w:rPr>
        <w:t xml:space="preserve"> </w:t>
      </w:r>
      <w:r w:rsidR="001F23A0" w:rsidRPr="00436CFB">
        <w:rPr>
          <w:spacing w:val="10"/>
          <w:sz w:val="26"/>
          <w:szCs w:val="26"/>
        </w:rPr>
        <w:t>Passam a vigorar, com a seguinte redação, os dispositivos das leis adiante indicadas:</w:t>
      </w:r>
    </w:p>
    <w:p w14:paraId="4B8942A7" w14:textId="6BC8CF73" w:rsidR="001F23A0" w:rsidRPr="00436CFB" w:rsidRDefault="00146034" w:rsidP="001F23A0">
      <w:pPr>
        <w:suppressAutoHyphens/>
        <w:spacing w:after="240" w:line="360" w:lineRule="atLeast"/>
        <w:ind w:firstLine="2835"/>
        <w:jc w:val="both"/>
        <w:rPr>
          <w:spacing w:val="10"/>
          <w:sz w:val="26"/>
          <w:szCs w:val="26"/>
        </w:rPr>
      </w:pPr>
      <w:r w:rsidRPr="00436CFB">
        <w:rPr>
          <w:b/>
          <w:bCs/>
          <w:spacing w:val="10"/>
          <w:sz w:val="26"/>
          <w:szCs w:val="26"/>
        </w:rPr>
        <w:t>I</w:t>
      </w:r>
      <w:r w:rsidRPr="00436CFB">
        <w:rPr>
          <w:spacing w:val="10"/>
          <w:sz w:val="26"/>
          <w:szCs w:val="26"/>
        </w:rPr>
        <w:t xml:space="preserve"> -</w:t>
      </w:r>
      <w:r w:rsidR="001F23A0" w:rsidRPr="00436CFB">
        <w:rPr>
          <w:color w:val="FF0000"/>
          <w:spacing w:val="10"/>
          <w:sz w:val="26"/>
          <w:szCs w:val="26"/>
        </w:rPr>
        <w:t xml:space="preserve"> </w:t>
      </w:r>
      <w:proofErr w:type="gramStart"/>
      <w:r w:rsidR="001F23A0" w:rsidRPr="00436CFB">
        <w:rPr>
          <w:spacing w:val="10"/>
          <w:sz w:val="26"/>
          <w:szCs w:val="26"/>
        </w:rPr>
        <w:t>da</w:t>
      </w:r>
      <w:proofErr w:type="gramEnd"/>
      <w:r w:rsidR="001F23A0" w:rsidRPr="00436CFB">
        <w:rPr>
          <w:spacing w:val="10"/>
          <w:sz w:val="26"/>
          <w:szCs w:val="26"/>
        </w:rPr>
        <w:t xml:space="preserve"> Lei nº 15.213, de 19 de novembro de 2013, o artigo 3º:</w:t>
      </w:r>
    </w:p>
    <w:p w14:paraId="6BCEEFC9"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“Artigo 3º - O negócio jurídico de cessão ou constituição de garantias celebrado pelo Estado atenderá, no que couber, às condições usualmente praticadas pela instituição financeira credora, podendo prever, entre outras, as seguintes disposições:</w:t>
      </w:r>
    </w:p>
    <w:p w14:paraId="7CD1DA2B"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19AB900C"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65C1C98A"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4C34CCA9" w14:textId="4F61B2C8" w:rsidR="001F23A0" w:rsidRPr="00436CFB" w:rsidRDefault="001F23A0" w:rsidP="001F23A0">
      <w:pPr>
        <w:pStyle w:val="Corpodetexto"/>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w:t>
      </w:r>
      <w:r w:rsidRPr="00436CFB">
        <w:rPr>
          <w:spacing w:val="10"/>
          <w:sz w:val="26"/>
          <w:szCs w:val="26"/>
        </w:rPr>
        <w:lastRenderedPageBreak/>
        <w:t>correspondente à garantia ou cessão inicialmente concedida.” (NR)</w:t>
      </w:r>
    </w:p>
    <w:p w14:paraId="750EC244" w14:textId="4FC7B906" w:rsidR="001F23A0" w:rsidRPr="00436CFB" w:rsidRDefault="001F23A0" w:rsidP="001F23A0">
      <w:pPr>
        <w:pStyle w:val="Corpodetexto"/>
        <w:spacing w:after="240" w:line="360" w:lineRule="atLeast"/>
        <w:ind w:firstLine="2835"/>
        <w:jc w:val="both"/>
        <w:rPr>
          <w:spacing w:val="10"/>
          <w:sz w:val="26"/>
          <w:szCs w:val="26"/>
        </w:rPr>
      </w:pPr>
      <w:r w:rsidRPr="00436CFB">
        <w:rPr>
          <w:b/>
          <w:bCs/>
          <w:spacing w:val="10"/>
          <w:sz w:val="26"/>
          <w:szCs w:val="26"/>
        </w:rPr>
        <w:t xml:space="preserve">II </w:t>
      </w:r>
      <w:r w:rsidRPr="00436CFB">
        <w:rPr>
          <w:spacing w:val="10"/>
          <w:sz w:val="26"/>
          <w:szCs w:val="26"/>
        </w:rPr>
        <w:t xml:space="preserve">- </w:t>
      </w:r>
      <w:proofErr w:type="gramStart"/>
      <w:r w:rsidRPr="00436CFB">
        <w:rPr>
          <w:spacing w:val="10"/>
          <w:sz w:val="26"/>
          <w:szCs w:val="26"/>
        </w:rPr>
        <w:t>da</w:t>
      </w:r>
      <w:proofErr w:type="gramEnd"/>
      <w:r w:rsidRPr="00436CFB">
        <w:rPr>
          <w:spacing w:val="10"/>
          <w:sz w:val="26"/>
          <w:szCs w:val="26"/>
        </w:rPr>
        <w:t xml:space="preserve"> Lei nº 15.567, de 30 de outubro de 2014:</w:t>
      </w:r>
    </w:p>
    <w:p w14:paraId="6F9AB74E" w14:textId="0EB634D7" w:rsidR="001F23A0" w:rsidRPr="00436CFB" w:rsidRDefault="001F23A0" w:rsidP="001F23A0">
      <w:pPr>
        <w:pStyle w:val="Corpodetexto"/>
        <w:widowControl w:val="0"/>
        <w:autoSpaceDE w:val="0"/>
        <w:autoSpaceDN w:val="0"/>
        <w:spacing w:after="240" w:line="360" w:lineRule="atLeast"/>
        <w:ind w:left="2835"/>
        <w:jc w:val="both"/>
        <w:rPr>
          <w:spacing w:val="10"/>
          <w:sz w:val="26"/>
          <w:szCs w:val="26"/>
        </w:rPr>
      </w:pPr>
      <w:r w:rsidRPr="00436CFB">
        <w:rPr>
          <w:b/>
          <w:bCs/>
          <w:spacing w:val="10"/>
          <w:sz w:val="26"/>
          <w:szCs w:val="26"/>
        </w:rPr>
        <w:t>a)</w:t>
      </w:r>
      <w:r w:rsidRPr="00436CFB">
        <w:rPr>
          <w:spacing w:val="10"/>
          <w:sz w:val="26"/>
          <w:szCs w:val="26"/>
        </w:rPr>
        <w:t xml:space="preserve"> o inciso II do artigo 1º:</w:t>
      </w:r>
    </w:p>
    <w:p w14:paraId="564E3CF9"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“II - Projeto Tamoios, até o valor equivalente a US$ 792.317.518,87 (setecentos e noventa e dois milhões, trezentos e dezessete mil, quinhentos e dezoito dólares norte-americanos e oitenta e sete centavos), ou, alternativamente, R$ 4.232.639.417,54 (quatro bilhões, duzentos e trinta e dois milhões, seiscentos e trinta e nove mil, quatrocentos e dezessete reais e cinquenta e quatro centavos).” (NR)</w:t>
      </w:r>
    </w:p>
    <w:p w14:paraId="1C0BB040" w14:textId="18D38B31" w:rsidR="001F23A0" w:rsidRPr="00436CFB" w:rsidRDefault="001F23A0" w:rsidP="001F23A0">
      <w:pPr>
        <w:suppressAutoHyphens/>
        <w:spacing w:after="240" w:line="320" w:lineRule="atLeast"/>
        <w:ind w:left="1701" w:firstLine="1134"/>
        <w:jc w:val="both"/>
        <w:rPr>
          <w:spacing w:val="10"/>
          <w:sz w:val="26"/>
          <w:szCs w:val="26"/>
        </w:rPr>
      </w:pPr>
      <w:r w:rsidRPr="00436CFB">
        <w:rPr>
          <w:b/>
          <w:bCs/>
          <w:spacing w:val="10"/>
          <w:sz w:val="26"/>
          <w:szCs w:val="26"/>
        </w:rPr>
        <w:t>b)</w:t>
      </w:r>
      <w:r w:rsidRPr="00436CFB">
        <w:rPr>
          <w:spacing w:val="10"/>
          <w:sz w:val="26"/>
          <w:szCs w:val="26"/>
        </w:rPr>
        <w:t xml:space="preserve"> o artigo 4º:</w:t>
      </w:r>
    </w:p>
    <w:p w14:paraId="077559D3"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“Artigo 4º - O negócio jurídico de cessão ou constituição de garantias celebrado pelo Estado atenderá, no que couber, às condições usualmente praticadas pela instituição financeira credora, podendo prever, entre outras, as seguintes disposições:</w:t>
      </w:r>
    </w:p>
    <w:p w14:paraId="3C03AD93"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7426A389"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095CB562"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5E39413E" w14:textId="068F8749"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correspondente à garantia ou cessão inicialmente concedida.” (NR)</w:t>
      </w:r>
    </w:p>
    <w:p w14:paraId="7C6307F3" w14:textId="28657A52" w:rsidR="001F23A0" w:rsidRPr="00436CFB" w:rsidRDefault="001F23A0" w:rsidP="001F23A0">
      <w:pPr>
        <w:pStyle w:val="Corpodetexto"/>
        <w:spacing w:after="240" w:line="360" w:lineRule="atLeast"/>
        <w:ind w:firstLine="2835"/>
        <w:jc w:val="both"/>
        <w:rPr>
          <w:spacing w:val="10"/>
          <w:sz w:val="26"/>
          <w:szCs w:val="26"/>
        </w:rPr>
      </w:pPr>
      <w:r w:rsidRPr="00436CFB">
        <w:rPr>
          <w:b/>
          <w:bCs/>
          <w:spacing w:val="10"/>
          <w:sz w:val="26"/>
          <w:szCs w:val="26"/>
        </w:rPr>
        <w:t xml:space="preserve">III </w:t>
      </w:r>
      <w:r w:rsidRPr="00436CFB">
        <w:rPr>
          <w:spacing w:val="10"/>
          <w:sz w:val="26"/>
          <w:szCs w:val="26"/>
        </w:rPr>
        <w:t>- da Lei nº 17.386, de 14 de julho de 2021, o artigo 9º:</w:t>
      </w:r>
    </w:p>
    <w:p w14:paraId="7E3500DE"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lastRenderedPageBreak/>
        <w:t>“Artigo 9º - O negócio jurídico de cessão ou constituição de garantias celebrado pelo Estado atenderá, no que couber, às condições usualmente praticadas pela instituição financeira credora, podendo prever, entre outras, as seguintes disposições:</w:t>
      </w:r>
    </w:p>
    <w:p w14:paraId="526F2DC6"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0E3BD8C7"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28F80796"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33E86D3A" w14:textId="253CC72E"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correspondente à garantia ou cessão inicialmente concedida.” (NR)</w:t>
      </w:r>
    </w:p>
    <w:p w14:paraId="5152F4DE" w14:textId="27B204E8" w:rsidR="001F23A0" w:rsidRPr="00436CFB" w:rsidRDefault="001F23A0" w:rsidP="001F23A0">
      <w:pPr>
        <w:pStyle w:val="Corpodetexto"/>
        <w:spacing w:after="240" w:line="360" w:lineRule="atLeast"/>
        <w:ind w:firstLine="2835"/>
        <w:jc w:val="both"/>
        <w:rPr>
          <w:b/>
          <w:bCs/>
          <w:spacing w:val="10"/>
          <w:sz w:val="26"/>
          <w:szCs w:val="26"/>
        </w:rPr>
      </w:pPr>
      <w:r w:rsidRPr="00436CFB">
        <w:rPr>
          <w:b/>
          <w:bCs/>
          <w:spacing w:val="10"/>
          <w:sz w:val="26"/>
          <w:szCs w:val="26"/>
        </w:rPr>
        <w:t xml:space="preserve">IV - </w:t>
      </w:r>
      <w:proofErr w:type="gramStart"/>
      <w:r w:rsidRPr="00436CFB">
        <w:rPr>
          <w:spacing w:val="10"/>
          <w:sz w:val="26"/>
          <w:szCs w:val="26"/>
        </w:rPr>
        <w:t>da</w:t>
      </w:r>
      <w:proofErr w:type="gramEnd"/>
      <w:r w:rsidRPr="00436CFB">
        <w:rPr>
          <w:spacing w:val="10"/>
          <w:sz w:val="26"/>
          <w:szCs w:val="26"/>
        </w:rPr>
        <w:t xml:space="preserve"> Lei nº 17.989, de 22 de julho de 2024, o artigo 9º:</w:t>
      </w:r>
    </w:p>
    <w:p w14:paraId="7688CD46"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“Artigo 9º - O negócio jurídico de cessão ou constituição de garantias celebrado pelo Estado atenderá, no que couber, às condições usualmente praticadas pela instituição financeira credora, podendo prever, entre outras, as seguintes disposições:</w:t>
      </w:r>
    </w:p>
    <w:p w14:paraId="7937F475"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72AA1A6C"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02C48D0F"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w:t>
      </w:r>
      <w:r w:rsidRPr="00436CFB">
        <w:rPr>
          <w:spacing w:val="10"/>
          <w:sz w:val="26"/>
          <w:szCs w:val="26"/>
        </w:rPr>
        <w:lastRenderedPageBreak/>
        <w:t xml:space="preserve">dívida vencidas e não pagas, incluindo os respectivos acessórios, no caso de inadimplemento do Estado; </w:t>
      </w:r>
    </w:p>
    <w:p w14:paraId="25295B6D" w14:textId="74131F2D"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correspondente à garantia ou cessão inicialmente concedida.” (NR)</w:t>
      </w:r>
    </w:p>
    <w:p w14:paraId="61AA1F44" w14:textId="64A543E9" w:rsidR="001F23A0" w:rsidRPr="00436CFB" w:rsidRDefault="001F23A0" w:rsidP="001F23A0">
      <w:pPr>
        <w:pStyle w:val="Corpodetexto"/>
        <w:spacing w:after="240" w:line="360" w:lineRule="atLeast"/>
        <w:ind w:firstLine="2835"/>
        <w:jc w:val="both"/>
        <w:rPr>
          <w:b/>
          <w:bCs/>
          <w:spacing w:val="10"/>
          <w:sz w:val="26"/>
          <w:szCs w:val="26"/>
        </w:rPr>
      </w:pPr>
      <w:r w:rsidRPr="00436CFB">
        <w:rPr>
          <w:b/>
          <w:bCs/>
          <w:spacing w:val="10"/>
          <w:sz w:val="26"/>
          <w:szCs w:val="26"/>
        </w:rPr>
        <w:t xml:space="preserve">V - </w:t>
      </w:r>
      <w:proofErr w:type="gramStart"/>
      <w:r w:rsidRPr="00436CFB">
        <w:rPr>
          <w:spacing w:val="10"/>
          <w:sz w:val="26"/>
          <w:szCs w:val="26"/>
        </w:rPr>
        <w:t>da</w:t>
      </w:r>
      <w:proofErr w:type="gramEnd"/>
      <w:r w:rsidRPr="00436CFB">
        <w:rPr>
          <w:spacing w:val="10"/>
          <w:sz w:val="26"/>
          <w:szCs w:val="26"/>
        </w:rPr>
        <w:t xml:space="preserve"> Lei nº 18.067, de 18 de dezembro de 2024, o artigo 9º:</w:t>
      </w:r>
    </w:p>
    <w:p w14:paraId="567E66F1"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“Artigo 9º - O negócio jurídico de cessão ou constituição de garantias celebrado pelo Estado atenderá, no que couber, às condições usualmente praticadas pela instituição financeira credora, podendo prever, entre outras, as seguintes disposições:</w:t>
      </w:r>
    </w:p>
    <w:p w14:paraId="4A401353"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173246F3"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7ED88C0D" w14:textId="77777777"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10206C20" w14:textId="1B4D0BC1" w:rsidR="001F23A0" w:rsidRPr="00436CFB" w:rsidRDefault="001F23A0" w:rsidP="001F23A0">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correspondente à garantia ou cessão inicialmente concedida.” (NR)</w:t>
      </w:r>
    </w:p>
    <w:p w14:paraId="37093F86" w14:textId="2AAA1A9F" w:rsidR="001F23A0" w:rsidRPr="00436CFB" w:rsidRDefault="001F23A0" w:rsidP="001F23A0">
      <w:pPr>
        <w:pStyle w:val="Corpodetexto"/>
        <w:spacing w:after="240" w:line="360" w:lineRule="atLeast"/>
        <w:ind w:firstLine="2835"/>
        <w:jc w:val="both"/>
        <w:rPr>
          <w:spacing w:val="10"/>
          <w:sz w:val="26"/>
          <w:szCs w:val="26"/>
        </w:rPr>
      </w:pPr>
      <w:r w:rsidRPr="00436CFB">
        <w:rPr>
          <w:b/>
          <w:bCs/>
          <w:spacing w:val="10"/>
          <w:sz w:val="26"/>
          <w:szCs w:val="26"/>
        </w:rPr>
        <w:t xml:space="preserve">VI - </w:t>
      </w:r>
      <w:proofErr w:type="gramStart"/>
      <w:r w:rsidRPr="00436CFB">
        <w:rPr>
          <w:spacing w:val="10"/>
          <w:sz w:val="26"/>
          <w:szCs w:val="26"/>
        </w:rPr>
        <w:t>da</w:t>
      </w:r>
      <w:proofErr w:type="gramEnd"/>
      <w:r w:rsidRPr="00436CFB">
        <w:rPr>
          <w:spacing w:val="10"/>
          <w:sz w:val="26"/>
          <w:szCs w:val="26"/>
        </w:rPr>
        <w:t xml:space="preserve"> Lei nº 18.147, de 26 de março de 2025, o artigo 9º:</w:t>
      </w:r>
    </w:p>
    <w:p w14:paraId="78D6BEB5"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“Artigo 9º - O negócio jurídico de cessão ou constituição de garantias celebrado pelo Estado atenderá, no que couber, às condições usualmente praticadas pela instituição financeira credora, podendo prever, entre outras, as seguintes disposições:</w:t>
      </w:r>
    </w:p>
    <w:p w14:paraId="615F2D73"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lastRenderedPageBreak/>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1B5F6CD2"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36DE782D"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32884FD2" w14:textId="729479D1"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correspondente à garantia ou cessão inicialmente concedida.” (NR)</w:t>
      </w:r>
    </w:p>
    <w:p w14:paraId="4DBF1F86" w14:textId="0E68E3EE" w:rsidR="001F23A0" w:rsidRPr="00436CFB" w:rsidRDefault="001F23A0" w:rsidP="00A46BD9">
      <w:pPr>
        <w:pStyle w:val="Corpodetexto"/>
        <w:spacing w:after="240" w:line="360" w:lineRule="atLeast"/>
        <w:ind w:firstLine="2835"/>
        <w:jc w:val="both"/>
        <w:rPr>
          <w:b/>
          <w:bCs/>
          <w:spacing w:val="10"/>
          <w:sz w:val="26"/>
          <w:szCs w:val="26"/>
        </w:rPr>
      </w:pPr>
      <w:r w:rsidRPr="00436CFB">
        <w:rPr>
          <w:b/>
          <w:bCs/>
          <w:spacing w:val="10"/>
          <w:sz w:val="26"/>
          <w:szCs w:val="26"/>
        </w:rPr>
        <w:t xml:space="preserve">VII - </w:t>
      </w:r>
      <w:r w:rsidRPr="00436CFB">
        <w:rPr>
          <w:spacing w:val="10"/>
          <w:sz w:val="26"/>
          <w:szCs w:val="26"/>
        </w:rPr>
        <w:t>da Lei nº 18.353, de 15 de dezembro de 2025, o artigo 9º:</w:t>
      </w:r>
    </w:p>
    <w:p w14:paraId="382931F8"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“Artigo 9º - O negócio jurídico de cessão ou constituição de garantias celebrado pelo Estado atenderá, no que couber, às condições usualmente praticadas pela instituição financeira credora, podendo prever, entre outras, as seguintes disposições:</w:t>
      </w:r>
    </w:p>
    <w:p w14:paraId="1F6ECC37"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 - </w:t>
      </w:r>
      <w:proofErr w:type="gramStart"/>
      <w:r w:rsidRPr="00436CFB">
        <w:rPr>
          <w:spacing w:val="10"/>
          <w:sz w:val="26"/>
          <w:szCs w:val="26"/>
        </w:rPr>
        <w:t>caráter</w:t>
      </w:r>
      <w:proofErr w:type="gramEnd"/>
      <w:r w:rsidRPr="00436CFB">
        <w:rPr>
          <w:spacing w:val="10"/>
          <w:sz w:val="26"/>
          <w:szCs w:val="26"/>
        </w:rPr>
        <w:t xml:space="preserve"> irrevogável e irretratável;</w:t>
      </w:r>
    </w:p>
    <w:p w14:paraId="789D1AA4"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II - </w:t>
      </w:r>
      <w:proofErr w:type="gramStart"/>
      <w:r w:rsidRPr="00436CFB">
        <w:rPr>
          <w:spacing w:val="10"/>
          <w:sz w:val="26"/>
          <w:szCs w:val="26"/>
        </w:rPr>
        <w:t>cessão</w:t>
      </w:r>
      <w:proofErr w:type="gramEnd"/>
      <w:r w:rsidRPr="00436CFB">
        <w:rPr>
          <w:spacing w:val="10"/>
          <w:sz w:val="26"/>
          <w:szCs w:val="26"/>
        </w:rPr>
        <w:t xml:space="preserve"> dos direitos e créditos a título “pro solvendo”, ficando a quitação condicionada ao efetivo recebimento dos valores cedidos pelo credor;</w:t>
      </w:r>
    </w:p>
    <w:p w14:paraId="3E13FC6A" w14:textId="77777777"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III - outorga de poderes ao credor para cobrar e receber diretamente do banco centralizador que faça às vezes de seu agente financeiro os direitos e créditos dados em garantia, até o montante necessário para o pagamento integral das parcelas da dívida vencidas e não pagas, incluindo os respectivos acessórios, no caso de inadimplemento do Estado; </w:t>
      </w:r>
    </w:p>
    <w:p w14:paraId="153742F2" w14:textId="1CF6D38F" w:rsidR="001F23A0" w:rsidRPr="00436CFB" w:rsidRDefault="001F23A0" w:rsidP="00A46BD9">
      <w:pPr>
        <w:suppressAutoHyphens/>
        <w:spacing w:after="240" w:line="320" w:lineRule="atLeast"/>
        <w:ind w:left="1701" w:firstLine="1134"/>
        <w:jc w:val="both"/>
        <w:rPr>
          <w:spacing w:val="10"/>
          <w:sz w:val="26"/>
          <w:szCs w:val="26"/>
        </w:rPr>
      </w:pPr>
      <w:r w:rsidRPr="00436CFB">
        <w:rPr>
          <w:spacing w:val="10"/>
          <w:sz w:val="26"/>
          <w:szCs w:val="26"/>
        </w:rPr>
        <w:t xml:space="preserve">IV - </w:t>
      </w:r>
      <w:proofErr w:type="gramStart"/>
      <w:r w:rsidRPr="00436CFB">
        <w:rPr>
          <w:spacing w:val="10"/>
          <w:sz w:val="26"/>
          <w:szCs w:val="26"/>
        </w:rPr>
        <w:t>substituição</w:t>
      </w:r>
      <w:proofErr w:type="gramEnd"/>
      <w:r w:rsidRPr="00436CFB">
        <w:rPr>
          <w:spacing w:val="10"/>
          <w:sz w:val="26"/>
          <w:szCs w:val="26"/>
        </w:rPr>
        <w:t xml:space="preserve"> automática, no caso de extinção, dos direitos e créditos cedidos ou dados em garantia, por outros que, com idêntica finalidade, venham a sucedê-los, no valor </w:t>
      </w:r>
      <w:r w:rsidRPr="00436CFB">
        <w:rPr>
          <w:spacing w:val="10"/>
          <w:sz w:val="26"/>
          <w:szCs w:val="26"/>
        </w:rPr>
        <w:lastRenderedPageBreak/>
        <w:t>correspondente à garantia ou cessão inicialmente concedida.” (NR)</w:t>
      </w:r>
    </w:p>
    <w:p w14:paraId="73673297" w14:textId="0145DF49" w:rsidR="001F23A0" w:rsidRPr="00436CFB" w:rsidRDefault="001F23A0" w:rsidP="00A46BD9">
      <w:pPr>
        <w:pStyle w:val="Corpodetexto"/>
        <w:spacing w:after="240" w:line="360" w:lineRule="atLeast"/>
        <w:ind w:firstLine="2835"/>
        <w:jc w:val="both"/>
        <w:rPr>
          <w:b/>
          <w:bCs/>
          <w:spacing w:val="10"/>
          <w:sz w:val="26"/>
          <w:szCs w:val="26"/>
        </w:rPr>
      </w:pPr>
      <w:r w:rsidRPr="00436CFB">
        <w:rPr>
          <w:b/>
          <w:bCs/>
          <w:spacing w:val="10"/>
          <w:sz w:val="26"/>
          <w:szCs w:val="26"/>
        </w:rPr>
        <w:t xml:space="preserve">Artigo 2º - </w:t>
      </w:r>
      <w:r w:rsidRPr="00436CFB">
        <w:rPr>
          <w:spacing w:val="10"/>
          <w:sz w:val="26"/>
          <w:szCs w:val="26"/>
        </w:rPr>
        <w:t>Os dispositivos adiante relacionados ficam acrescentados na seguinte conformidade:</w:t>
      </w:r>
      <w:r w:rsidRPr="00436CFB">
        <w:rPr>
          <w:b/>
          <w:bCs/>
          <w:spacing w:val="10"/>
          <w:sz w:val="26"/>
          <w:szCs w:val="26"/>
        </w:rPr>
        <w:t xml:space="preserve"> </w:t>
      </w:r>
    </w:p>
    <w:p w14:paraId="590CCB48" w14:textId="1B74CFC9"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 xml:space="preserve">I - </w:t>
      </w:r>
      <w:proofErr w:type="gramStart"/>
      <w:r w:rsidRPr="00436CFB">
        <w:rPr>
          <w:spacing w:val="10"/>
          <w:sz w:val="26"/>
          <w:szCs w:val="26"/>
        </w:rPr>
        <w:t>à</w:t>
      </w:r>
      <w:proofErr w:type="gramEnd"/>
      <w:r w:rsidRPr="00436CFB">
        <w:rPr>
          <w:spacing w:val="10"/>
          <w:sz w:val="26"/>
          <w:szCs w:val="26"/>
        </w:rPr>
        <w:t xml:space="preserve"> Lei nº 15.213, de 19 de novembro de 2013, o item 5 ao § 1º do artigo 2º:</w:t>
      </w:r>
    </w:p>
    <w:p w14:paraId="48D40C10" w14:textId="0100365F" w:rsidR="001F23A0" w:rsidRPr="00436CFB" w:rsidRDefault="001F23A0" w:rsidP="00A46BD9">
      <w:pPr>
        <w:suppressAutoHyphens/>
        <w:spacing w:after="240" w:line="320" w:lineRule="atLeast"/>
        <w:ind w:left="1701" w:firstLine="1134"/>
        <w:jc w:val="both"/>
        <w:rPr>
          <w:color w:val="000000" w:themeColor="text1"/>
          <w:spacing w:val="10"/>
          <w:sz w:val="26"/>
          <w:szCs w:val="26"/>
        </w:rPr>
      </w:pPr>
      <w:r w:rsidRPr="00436CFB">
        <w:rPr>
          <w:color w:val="000000" w:themeColor="text1"/>
          <w:spacing w:val="10"/>
          <w:sz w:val="26"/>
          <w:szCs w:val="26"/>
        </w:rPr>
        <w:t xml:space="preserve">“5 - demais garantias admitidas em direito.” </w:t>
      </w:r>
    </w:p>
    <w:p w14:paraId="65544574" w14:textId="416DFAFF"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 xml:space="preserve">II </w:t>
      </w:r>
      <w:r w:rsidR="00A46BD9" w:rsidRPr="00436CFB">
        <w:rPr>
          <w:b/>
          <w:bCs/>
          <w:spacing w:val="10"/>
          <w:sz w:val="26"/>
          <w:szCs w:val="26"/>
        </w:rPr>
        <w:t>-</w:t>
      </w:r>
      <w:r w:rsidR="00A46BD9" w:rsidRPr="00436CFB">
        <w:rPr>
          <w:spacing w:val="10"/>
          <w:sz w:val="26"/>
          <w:szCs w:val="26"/>
        </w:rPr>
        <w:t xml:space="preserve"> </w:t>
      </w:r>
      <w:proofErr w:type="gramStart"/>
      <w:r w:rsidR="00A46BD9" w:rsidRPr="00436CFB">
        <w:rPr>
          <w:spacing w:val="10"/>
          <w:sz w:val="26"/>
          <w:szCs w:val="26"/>
        </w:rPr>
        <w:t>à</w:t>
      </w:r>
      <w:proofErr w:type="gramEnd"/>
      <w:r w:rsidRPr="00436CFB">
        <w:rPr>
          <w:spacing w:val="10"/>
          <w:sz w:val="26"/>
          <w:szCs w:val="26"/>
        </w:rPr>
        <w:t xml:space="preserve"> Lei nº 15.567, de 30 de outubro de 2014:</w:t>
      </w:r>
    </w:p>
    <w:p w14:paraId="37E4D2FD" w14:textId="33914E36" w:rsidR="001F23A0" w:rsidRPr="00436CFB" w:rsidRDefault="00436CFB" w:rsidP="00436CFB">
      <w:pPr>
        <w:pStyle w:val="Corpodetexto"/>
        <w:widowControl w:val="0"/>
        <w:autoSpaceDE w:val="0"/>
        <w:autoSpaceDN w:val="0"/>
        <w:spacing w:after="240" w:line="360" w:lineRule="atLeast"/>
        <w:ind w:left="2835"/>
        <w:jc w:val="both"/>
        <w:rPr>
          <w:spacing w:val="10"/>
          <w:sz w:val="26"/>
          <w:szCs w:val="26"/>
        </w:rPr>
      </w:pPr>
      <w:r w:rsidRPr="00965098">
        <w:rPr>
          <w:b/>
          <w:bCs/>
          <w:spacing w:val="10"/>
          <w:sz w:val="26"/>
          <w:szCs w:val="26"/>
        </w:rPr>
        <w:t>a)</w:t>
      </w:r>
      <w:r>
        <w:rPr>
          <w:spacing w:val="10"/>
          <w:sz w:val="26"/>
          <w:szCs w:val="26"/>
        </w:rPr>
        <w:t xml:space="preserve"> </w:t>
      </w:r>
      <w:r w:rsidR="001F23A0" w:rsidRPr="00436CFB">
        <w:rPr>
          <w:spacing w:val="10"/>
          <w:sz w:val="26"/>
          <w:szCs w:val="26"/>
        </w:rPr>
        <w:t>o inciso VI ao parágrafo único do artigo 3º:</w:t>
      </w:r>
    </w:p>
    <w:p w14:paraId="101DCEBB" w14:textId="77777777" w:rsidR="00436CFB" w:rsidRDefault="001F23A0" w:rsidP="00436CFB">
      <w:pPr>
        <w:suppressAutoHyphens/>
        <w:spacing w:after="240" w:line="320" w:lineRule="atLeast"/>
        <w:ind w:left="1701" w:firstLine="1134"/>
        <w:jc w:val="both"/>
        <w:rPr>
          <w:color w:val="000000" w:themeColor="text1"/>
          <w:spacing w:val="10"/>
          <w:sz w:val="26"/>
          <w:szCs w:val="26"/>
        </w:rPr>
      </w:pPr>
      <w:r w:rsidRPr="00436CFB">
        <w:rPr>
          <w:color w:val="000000" w:themeColor="text1"/>
          <w:spacing w:val="10"/>
          <w:sz w:val="26"/>
          <w:szCs w:val="26"/>
        </w:rPr>
        <w:t xml:space="preserve">“VI - </w:t>
      </w:r>
      <w:proofErr w:type="gramStart"/>
      <w:r w:rsidRPr="00436CFB">
        <w:rPr>
          <w:color w:val="000000" w:themeColor="text1"/>
          <w:spacing w:val="10"/>
          <w:sz w:val="26"/>
          <w:szCs w:val="26"/>
        </w:rPr>
        <w:t>demais</w:t>
      </w:r>
      <w:proofErr w:type="gramEnd"/>
      <w:r w:rsidRPr="00436CFB">
        <w:rPr>
          <w:color w:val="000000" w:themeColor="text1"/>
          <w:spacing w:val="10"/>
          <w:sz w:val="26"/>
          <w:szCs w:val="26"/>
        </w:rPr>
        <w:t xml:space="preserve"> garantias admitidas em direito.”;</w:t>
      </w:r>
    </w:p>
    <w:p w14:paraId="16AD67CE" w14:textId="71E87AD2" w:rsidR="001F23A0" w:rsidRPr="00436CFB" w:rsidRDefault="00773A2E" w:rsidP="00436CFB">
      <w:pPr>
        <w:suppressAutoHyphens/>
        <w:spacing w:after="240" w:line="320" w:lineRule="atLeast"/>
        <w:ind w:left="1701" w:firstLine="1134"/>
        <w:jc w:val="both"/>
        <w:rPr>
          <w:color w:val="000000" w:themeColor="text1"/>
          <w:spacing w:val="10"/>
          <w:sz w:val="26"/>
          <w:szCs w:val="26"/>
        </w:rPr>
      </w:pPr>
      <w:r>
        <w:rPr>
          <w:b/>
          <w:bCs/>
          <w:color w:val="000000"/>
          <w:spacing w:val="10"/>
          <w:sz w:val="26"/>
          <w:szCs w:val="26"/>
        </w:rPr>
        <w:t>b</w:t>
      </w:r>
      <w:r w:rsidR="00436CFB" w:rsidRPr="00965098">
        <w:rPr>
          <w:b/>
          <w:bCs/>
          <w:color w:val="000000"/>
          <w:spacing w:val="10"/>
          <w:sz w:val="26"/>
          <w:szCs w:val="26"/>
        </w:rPr>
        <w:t>)</w:t>
      </w:r>
      <w:r w:rsidR="00436CFB">
        <w:rPr>
          <w:color w:val="000000"/>
          <w:spacing w:val="10"/>
          <w:sz w:val="26"/>
          <w:szCs w:val="26"/>
        </w:rPr>
        <w:t xml:space="preserve"> </w:t>
      </w:r>
      <w:r w:rsidR="001F23A0" w:rsidRPr="00436CFB">
        <w:rPr>
          <w:color w:val="000000"/>
          <w:spacing w:val="10"/>
          <w:sz w:val="26"/>
          <w:szCs w:val="26"/>
        </w:rPr>
        <w:t xml:space="preserve">o § 2º ao artigo 3º, remunerando-se o parágrafo único como § </w:t>
      </w:r>
      <w:r w:rsidR="001F23A0" w:rsidRPr="00436CFB">
        <w:rPr>
          <w:spacing w:val="10"/>
          <w:sz w:val="26"/>
          <w:szCs w:val="26"/>
          <w:lang w:val="pt-PT" w:eastAsia="en-US"/>
        </w:rPr>
        <w:t>1º:</w:t>
      </w:r>
    </w:p>
    <w:p w14:paraId="2164853A" w14:textId="35FD8180" w:rsidR="001F23A0" w:rsidRPr="00436CFB" w:rsidRDefault="001F23A0" w:rsidP="002E4068">
      <w:pPr>
        <w:suppressAutoHyphens/>
        <w:spacing w:after="240" w:line="320" w:lineRule="atLeast"/>
        <w:ind w:left="1701" w:firstLine="1134"/>
        <w:jc w:val="both"/>
        <w:rPr>
          <w:spacing w:val="10"/>
          <w:sz w:val="26"/>
          <w:szCs w:val="26"/>
        </w:rPr>
      </w:pPr>
      <w:r w:rsidRPr="00436CFB">
        <w:rPr>
          <w:spacing w:val="10"/>
          <w:sz w:val="26"/>
          <w:szCs w:val="26"/>
        </w:rPr>
        <w:t>“§ 2º</w:t>
      </w:r>
      <w:bookmarkStart w:id="1" w:name="_Hlk211431740"/>
      <w:r w:rsidRPr="00436CFB">
        <w:rPr>
          <w:spacing w:val="10"/>
          <w:sz w:val="26"/>
          <w:szCs w:val="26"/>
        </w:rPr>
        <w:t>- Fica o Poder Executivo autorizado a vincular, como contragarantia à garantia da União, à operação de crédito de que trata esta lei, em caráter irrevogável e irretratável, a modo “pro solvendo”, as receitas discriminadas no § 4º do artigo 167 da Constituição Federal, no que couber, bem como outras garantias admitidas em direito.</w:t>
      </w:r>
      <w:bookmarkEnd w:id="1"/>
      <w:r w:rsidRPr="00436CFB">
        <w:rPr>
          <w:spacing w:val="10"/>
          <w:sz w:val="26"/>
          <w:szCs w:val="26"/>
        </w:rPr>
        <w:t>”</w:t>
      </w:r>
    </w:p>
    <w:p w14:paraId="49693BAF" w14:textId="1BA0D928" w:rsidR="001F23A0" w:rsidRPr="00436CFB" w:rsidRDefault="001F23A0" w:rsidP="00A46BD9">
      <w:pPr>
        <w:pStyle w:val="Corpodetexto"/>
        <w:spacing w:after="240" w:line="360" w:lineRule="atLeast"/>
        <w:ind w:firstLine="2835"/>
        <w:jc w:val="both"/>
        <w:rPr>
          <w:spacing w:val="10"/>
          <w:sz w:val="26"/>
          <w:szCs w:val="26"/>
        </w:rPr>
      </w:pPr>
      <w:r w:rsidRPr="00436CFB">
        <w:rPr>
          <w:b/>
          <w:spacing w:val="10"/>
          <w:sz w:val="26"/>
          <w:szCs w:val="26"/>
        </w:rPr>
        <w:t>Artigo 3º</w:t>
      </w:r>
      <w:r w:rsidRPr="00436CFB">
        <w:rPr>
          <w:bCs/>
          <w:spacing w:val="10"/>
          <w:sz w:val="26"/>
          <w:szCs w:val="26"/>
        </w:rPr>
        <w:t xml:space="preserve"> </w:t>
      </w:r>
      <w:r w:rsidR="002E4068">
        <w:rPr>
          <w:bCs/>
          <w:spacing w:val="10"/>
          <w:sz w:val="26"/>
          <w:szCs w:val="26"/>
        </w:rPr>
        <w:t>-</w:t>
      </w:r>
      <w:r w:rsidRPr="00436CFB">
        <w:rPr>
          <w:spacing w:val="10"/>
          <w:sz w:val="26"/>
          <w:szCs w:val="26"/>
        </w:rPr>
        <w:t xml:space="preserve"> Resguardado o ato jurídico perfeito, ficam revogados:</w:t>
      </w:r>
    </w:p>
    <w:p w14:paraId="1F406352" w14:textId="3FF06998"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I -</w:t>
      </w:r>
      <w:r w:rsidRPr="00436CFB">
        <w:rPr>
          <w:spacing w:val="10"/>
          <w:sz w:val="26"/>
          <w:szCs w:val="26"/>
        </w:rPr>
        <w:t xml:space="preserve"> </w:t>
      </w:r>
      <w:proofErr w:type="gramStart"/>
      <w:r w:rsidRPr="00436CFB">
        <w:rPr>
          <w:spacing w:val="10"/>
          <w:sz w:val="26"/>
          <w:szCs w:val="26"/>
        </w:rPr>
        <w:t>o</w:t>
      </w:r>
      <w:proofErr w:type="gramEnd"/>
      <w:r w:rsidRPr="00436CFB">
        <w:rPr>
          <w:spacing w:val="10"/>
          <w:sz w:val="26"/>
          <w:szCs w:val="26"/>
        </w:rPr>
        <w:t xml:space="preserve"> inciso VI do artigo 2º da Lei nº 7.964, de 16 de julho de 1992;</w:t>
      </w:r>
    </w:p>
    <w:p w14:paraId="1829E8B5" w14:textId="464B405C"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 xml:space="preserve">II </w:t>
      </w:r>
      <w:r w:rsidRPr="00436CFB">
        <w:rPr>
          <w:spacing w:val="10"/>
          <w:sz w:val="26"/>
          <w:szCs w:val="26"/>
        </w:rPr>
        <w:t xml:space="preserve">- </w:t>
      </w:r>
      <w:proofErr w:type="gramStart"/>
      <w:r w:rsidRPr="00436CFB">
        <w:rPr>
          <w:spacing w:val="10"/>
          <w:sz w:val="26"/>
          <w:szCs w:val="26"/>
        </w:rPr>
        <w:t>os</w:t>
      </w:r>
      <w:proofErr w:type="gramEnd"/>
      <w:r w:rsidRPr="00436CFB">
        <w:rPr>
          <w:spacing w:val="10"/>
          <w:sz w:val="26"/>
          <w:szCs w:val="26"/>
        </w:rPr>
        <w:t xml:space="preserve"> itens 3 e 4 do § 1º do artigo 2º da Lei nº 15.213, de 19 de novembro de 2013; </w:t>
      </w:r>
    </w:p>
    <w:p w14:paraId="629B7D47" w14:textId="4FF0D3C0"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 xml:space="preserve">III </w:t>
      </w:r>
      <w:r w:rsidRPr="00436CFB">
        <w:rPr>
          <w:spacing w:val="10"/>
          <w:sz w:val="26"/>
          <w:szCs w:val="26"/>
        </w:rPr>
        <w:t>- os incisos II, III e V do parágrafo único do artigo 3º da Lei nº 15.567, de 30 de outubro de 2014.</w:t>
      </w:r>
    </w:p>
    <w:p w14:paraId="2B0E0C73" w14:textId="0A2B5687" w:rsidR="001F23A0" w:rsidRPr="00436CFB" w:rsidRDefault="001F23A0" w:rsidP="00A46BD9">
      <w:pPr>
        <w:pStyle w:val="Corpodetexto"/>
        <w:spacing w:after="240" w:line="360" w:lineRule="atLeast"/>
        <w:ind w:firstLine="2835"/>
        <w:jc w:val="both"/>
        <w:rPr>
          <w:spacing w:val="10"/>
          <w:sz w:val="26"/>
          <w:szCs w:val="26"/>
        </w:rPr>
      </w:pPr>
      <w:r w:rsidRPr="00436CFB">
        <w:rPr>
          <w:b/>
          <w:bCs/>
          <w:spacing w:val="10"/>
          <w:sz w:val="26"/>
          <w:szCs w:val="26"/>
        </w:rPr>
        <w:t>Artigo 4º</w:t>
      </w:r>
      <w:r w:rsidRPr="00436CFB">
        <w:rPr>
          <w:spacing w:val="10"/>
          <w:sz w:val="26"/>
          <w:szCs w:val="26"/>
        </w:rPr>
        <w:t xml:space="preserve"> - Esta lei entra em vigor na data de sua publicação.</w:t>
      </w:r>
    </w:p>
    <w:p w14:paraId="3ECB2635" w14:textId="77777777" w:rsidR="005D32AD" w:rsidRPr="00436CFB" w:rsidRDefault="005D32AD" w:rsidP="005D32AD">
      <w:pPr>
        <w:suppressAutoHyphens/>
        <w:spacing w:after="240" w:line="360" w:lineRule="atLeast"/>
        <w:ind w:firstLine="2835"/>
        <w:jc w:val="both"/>
        <w:rPr>
          <w:b/>
          <w:bCs/>
          <w:color w:val="000000"/>
          <w:spacing w:val="10"/>
          <w:sz w:val="26"/>
          <w:szCs w:val="26"/>
        </w:rPr>
      </w:pPr>
      <w:r w:rsidRPr="00436CFB">
        <w:rPr>
          <w:b/>
          <w:bCs/>
          <w:color w:val="000000"/>
          <w:spacing w:val="10"/>
          <w:sz w:val="26"/>
          <w:szCs w:val="26"/>
        </w:rPr>
        <w:t>Palácio dos Bandeirantes, na data da assinatura digital.</w:t>
      </w:r>
    </w:p>
    <w:p w14:paraId="1285834B" w14:textId="77777777" w:rsidR="005D32AD" w:rsidRDefault="005D32AD" w:rsidP="00A46BD9">
      <w:pPr>
        <w:suppressAutoHyphens/>
        <w:spacing w:after="360" w:line="360" w:lineRule="atLeast"/>
        <w:jc w:val="center"/>
        <w:rPr>
          <w:b/>
          <w:bCs/>
          <w:color w:val="000000"/>
          <w:spacing w:val="10"/>
          <w:sz w:val="26"/>
          <w:szCs w:val="26"/>
        </w:rPr>
      </w:pPr>
      <w:r w:rsidRPr="00436CFB">
        <w:rPr>
          <w:b/>
          <w:bCs/>
          <w:color w:val="000000"/>
          <w:spacing w:val="10"/>
          <w:sz w:val="26"/>
          <w:szCs w:val="26"/>
        </w:rPr>
        <w:lastRenderedPageBreak/>
        <w:t>Tarcísio de Freitas</w:t>
      </w:r>
      <w:bookmarkEnd w:id="0"/>
    </w:p>
    <w:p w14:paraId="439B4FAA" w14:textId="77777777" w:rsidR="00AD1037" w:rsidRDefault="00AD1037" w:rsidP="00A46BD9">
      <w:pPr>
        <w:suppressAutoHyphens/>
        <w:spacing w:after="360" w:line="360" w:lineRule="atLeast"/>
        <w:jc w:val="center"/>
        <w:rPr>
          <w:b/>
          <w:bCs/>
          <w:color w:val="000000"/>
          <w:spacing w:val="10"/>
          <w:sz w:val="26"/>
          <w:szCs w:val="26"/>
        </w:rPr>
      </w:pPr>
    </w:p>
    <w:p w14:paraId="536D11C0" w14:textId="5FD4DE24" w:rsidR="01BFE387" w:rsidRDefault="01BFE387" w:rsidP="0720FCAC">
      <w:pPr>
        <w:pStyle w:val="NormalWeb"/>
        <w:spacing w:before="0" w:beforeAutospacing="0" w:after="0" w:afterAutospacing="0"/>
        <w:jc w:val="both"/>
        <w:rPr>
          <w:color w:val="000000" w:themeColor="text1"/>
          <w:sz w:val="26"/>
          <w:szCs w:val="26"/>
        </w:rPr>
      </w:pPr>
      <w:r w:rsidRPr="0720FCAC">
        <w:rPr>
          <w:color w:val="000000" w:themeColor="text1"/>
          <w:sz w:val="26"/>
          <w:szCs w:val="26"/>
        </w:rPr>
        <w:t>Rogério Campos</w:t>
      </w:r>
    </w:p>
    <w:p w14:paraId="3BC03B50" w14:textId="5DC13122" w:rsidR="01BFE387" w:rsidRDefault="01BFE387" w:rsidP="0720FCAC">
      <w:pPr>
        <w:pStyle w:val="NormalWeb"/>
        <w:spacing w:before="0" w:beforeAutospacing="0" w:after="165" w:afterAutospacing="0"/>
        <w:jc w:val="both"/>
        <w:rPr>
          <w:color w:val="000000" w:themeColor="text1"/>
          <w:sz w:val="26"/>
          <w:szCs w:val="26"/>
        </w:rPr>
      </w:pPr>
      <w:r w:rsidRPr="0720FCAC">
        <w:rPr>
          <w:color w:val="000000" w:themeColor="text1"/>
          <w:sz w:val="26"/>
          <w:szCs w:val="26"/>
        </w:rPr>
        <w:t>Secretário Executivo respondendo pelo expediente da Secretaria da Fazenda e Planejamento</w:t>
      </w:r>
    </w:p>
    <w:p w14:paraId="6F31AA30" w14:textId="77777777" w:rsidR="00D17612" w:rsidRDefault="00D17612" w:rsidP="00D17612">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5F5AD8E4" w14:textId="77777777" w:rsidR="00D17612" w:rsidRDefault="00D17612" w:rsidP="00D17612">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3B3F7A92" w14:textId="77777777" w:rsidR="00D17612" w:rsidRDefault="00D17612" w:rsidP="00D17612">
      <w:pPr>
        <w:pStyle w:val="NormalWeb"/>
        <w:spacing w:before="0" w:beforeAutospacing="0" w:after="0" w:afterAutospacing="0" w:line="360" w:lineRule="atLeast"/>
        <w:jc w:val="both"/>
        <w:rPr>
          <w:color w:val="000000"/>
          <w:sz w:val="27"/>
          <w:szCs w:val="27"/>
        </w:rPr>
      </w:pPr>
      <w:r>
        <w:rPr>
          <w:color w:val="000000"/>
          <w:spacing w:val="10"/>
          <w:sz w:val="26"/>
          <w:szCs w:val="26"/>
        </w:rPr>
        <w:t>Roberto Ribeiro Carneiro</w:t>
      </w:r>
    </w:p>
    <w:p w14:paraId="0D4E016B" w14:textId="77777777" w:rsidR="00D17612" w:rsidRDefault="00D17612" w:rsidP="00D17612">
      <w:pPr>
        <w:pStyle w:val="NormalWeb"/>
        <w:spacing w:before="0" w:beforeAutospacing="0" w:after="165" w:afterAutospacing="0"/>
        <w:jc w:val="both"/>
        <w:rPr>
          <w:color w:val="000000"/>
          <w:spacing w:val="10"/>
          <w:sz w:val="26"/>
          <w:szCs w:val="26"/>
        </w:rPr>
      </w:pPr>
      <w:r>
        <w:rPr>
          <w:color w:val="000000"/>
          <w:spacing w:val="10"/>
          <w:sz w:val="26"/>
          <w:szCs w:val="26"/>
        </w:rPr>
        <w:t>Secretário-Chefe da Casa Civil</w:t>
      </w:r>
    </w:p>
    <w:p w14:paraId="3DF3D376" w14:textId="77777777" w:rsidR="00D17612" w:rsidRPr="00436CFB" w:rsidRDefault="00D17612" w:rsidP="00D17612">
      <w:pPr>
        <w:suppressAutoHyphens/>
        <w:spacing w:after="360" w:line="360" w:lineRule="atLeast"/>
        <w:rPr>
          <w:spacing w:val="10"/>
          <w:sz w:val="26"/>
          <w:szCs w:val="26"/>
        </w:rPr>
      </w:pPr>
    </w:p>
    <w:sectPr w:rsidR="00D17612" w:rsidRPr="00436CFB" w:rsidSect="009D7440">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B889" w14:textId="77777777" w:rsidR="00552B6D" w:rsidRDefault="00552B6D">
      <w:r>
        <w:separator/>
      </w:r>
    </w:p>
  </w:endnote>
  <w:endnote w:type="continuationSeparator" w:id="0">
    <w:p w14:paraId="464C003B" w14:textId="77777777" w:rsidR="00552B6D" w:rsidRDefault="0055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8605" w14:textId="77777777" w:rsidR="00552B6D" w:rsidRDefault="00552B6D">
      <w:r>
        <w:separator/>
      </w:r>
    </w:p>
  </w:footnote>
  <w:footnote w:type="continuationSeparator" w:id="0">
    <w:p w14:paraId="099F79DF" w14:textId="77777777" w:rsidR="00552B6D" w:rsidRDefault="0055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3C"/>
    <w:multiLevelType w:val="hybridMultilevel"/>
    <w:tmpl w:val="04BC047C"/>
    <w:lvl w:ilvl="0" w:tplc="D610D32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15:restartNumberingAfterBreak="0">
    <w:nsid w:val="0D6758C2"/>
    <w:multiLevelType w:val="hybridMultilevel"/>
    <w:tmpl w:val="0E62145A"/>
    <w:lvl w:ilvl="0" w:tplc="DBDE7558">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2953198B"/>
    <w:multiLevelType w:val="hybridMultilevel"/>
    <w:tmpl w:val="8832717E"/>
    <w:lvl w:ilvl="0" w:tplc="4A12F264">
      <w:start w:val="1"/>
      <w:numFmt w:val="low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22A2BC5"/>
    <w:multiLevelType w:val="hybridMultilevel"/>
    <w:tmpl w:val="274607E6"/>
    <w:lvl w:ilvl="0" w:tplc="4960681E">
      <w:start w:val="1"/>
      <w:numFmt w:val="low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375571A7"/>
    <w:multiLevelType w:val="hybridMultilevel"/>
    <w:tmpl w:val="2E6A00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1E1545"/>
    <w:multiLevelType w:val="hybridMultilevel"/>
    <w:tmpl w:val="1C043B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C13B0C"/>
    <w:multiLevelType w:val="hybridMultilevel"/>
    <w:tmpl w:val="F3467502"/>
    <w:lvl w:ilvl="0" w:tplc="3DB23C50">
      <w:start w:val="1"/>
      <w:numFmt w:val="lowerLetter"/>
      <w:lvlText w:val="%1)"/>
      <w:lvlJc w:val="left"/>
      <w:pPr>
        <w:ind w:left="3195"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BA4661"/>
    <w:multiLevelType w:val="hybridMultilevel"/>
    <w:tmpl w:val="0854CF04"/>
    <w:lvl w:ilvl="0" w:tplc="73A4FD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78475463">
    <w:abstractNumId w:val="6"/>
  </w:num>
  <w:num w:numId="2" w16cid:durableId="121196166">
    <w:abstractNumId w:val="7"/>
  </w:num>
  <w:num w:numId="3" w16cid:durableId="780494936">
    <w:abstractNumId w:val="4"/>
  </w:num>
  <w:num w:numId="4" w16cid:durableId="1236889530">
    <w:abstractNumId w:val="1"/>
  </w:num>
  <w:num w:numId="5" w16cid:durableId="1954440806">
    <w:abstractNumId w:val="0"/>
  </w:num>
  <w:num w:numId="6" w16cid:durableId="477068489">
    <w:abstractNumId w:val="5"/>
  </w:num>
  <w:num w:numId="7" w16cid:durableId="816916016">
    <w:abstractNumId w:val="2"/>
  </w:num>
  <w:num w:numId="8" w16cid:durableId="475954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03EDC"/>
    <w:rsid w:val="000552B3"/>
    <w:rsid w:val="00065EDC"/>
    <w:rsid w:val="000670DC"/>
    <w:rsid w:val="000729B7"/>
    <w:rsid w:val="0007566B"/>
    <w:rsid w:val="000822A5"/>
    <w:rsid w:val="00092517"/>
    <w:rsid w:val="000931CE"/>
    <w:rsid w:val="000A046C"/>
    <w:rsid w:val="000A667D"/>
    <w:rsid w:val="000B1140"/>
    <w:rsid w:val="000B5116"/>
    <w:rsid w:val="000C5419"/>
    <w:rsid w:val="000E72AE"/>
    <w:rsid w:val="00101178"/>
    <w:rsid w:val="00112C91"/>
    <w:rsid w:val="001411AB"/>
    <w:rsid w:val="00146034"/>
    <w:rsid w:val="00151F84"/>
    <w:rsid w:val="00181AE0"/>
    <w:rsid w:val="001A0908"/>
    <w:rsid w:val="001A3F57"/>
    <w:rsid w:val="001B2822"/>
    <w:rsid w:val="001C551A"/>
    <w:rsid w:val="001D37DD"/>
    <w:rsid w:val="001F23A0"/>
    <w:rsid w:val="002104E7"/>
    <w:rsid w:val="00230162"/>
    <w:rsid w:val="002516C1"/>
    <w:rsid w:val="002805D9"/>
    <w:rsid w:val="002820EC"/>
    <w:rsid w:val="002D75AD"/>
    <w:rsid w:val="002E4068"/>
    <w:rsid w:val="003267F7"/>
    <w:rsid w:val="00330CB9"/>
    <w:rsid w:val="0035540A"/>
    <w:rsid w:val="00384C48"/>
    <w:rsid w:val="003A4E06"/>
    <w:rsid w:val="003C5929"/>
    <w:rsid w:val="003C78C1"/>
    <w:rsid w:val="003F179D"/>
    <w:rsid w:val="003F4456"/>
    <w:rsid w:val="003F7214"/>
    <w:rsid w:val="00413CBF"/>
    <w:rsid w:val="00420D4A"/>
    <w:rsid w:val="00424B05"/>
    <w:rsid w:val="00436CFB"/>
    <w:rsid w:val="00440623"/>
    <w:rsid w:val="00470322"/>
    <w:rsid w:val="00491569"/>
    <w:rsid w:val="004954B3"/>
    <w:rsid w:val="004C481A"/>
    <w:rsid w:val="004D0AB5"/>
    <w:rsid w:val="004E0D2A"/>
    <w:rsid w:val="004F04CF"/>
    <w:rsid w:val="00500697"/>
    <w:rsid w:val="0052685D"/>
    <w:rsid w:val="00542376"/>
    <w:rsid w:val="00552B6D"/>
    <w:rsid w:val="00582852"/>
    <w:rsid w:val="00585F10"/>
    <w:rsid w:val="00590079"/>
    <w:rsid w:val="005D32AD"/>
    <w:rsid w:val="005D6CE5"/>
    <w:rsid w:val="005E51CA"/>
    <w:rsid w:val="00616FBE"/>
    <w:rsid w:val="00617C44"/>
    <w:rsid w:val="006214C9"/>
    <w:rsid w:val="006322A2"/>
    <w:rsid w:val="006501D6"/>
    <w:rsid w:val="00654771"/>
    <w:rsid w:val="00673AF1"/>
    <w:rsid w:val="00693E54"/>
    <w:rsid w:val="006B1169"/>
    <w:rsid w:val="006E4FA8"/>
    <w:rsid w:val="006F3D29"/>
    <w:rsid w:val="007358CB"/>
    <w:rsid w:val="007451E6"/>
    <w:rsid w:val="007525E6"/>
    <w:rsid w:val="00773A2E"/>
    <w:rsid w:val="0079707B"/>
    <w:rsid w:val="007D1A43"/>
    <w:rsid w:val="007D7023"/>
    <w:rsid w:val="00803BF6"/>
    <w:rsid w:val="0083209F"/>
    <w:rsid w:val="00833251"/>
    <w:rsid w:val="00846169"/>
    <w:rsid w:val="00856398"/>
    <w:rsid w:val="00896BAF"/>
    <w:rsid w:val="008A18AB"/>
    <w:rsid w:val="008B7413"/>
    <w:rsid w:val="008C7105"/>
    <w:rsid w:val="008D154B"/>
    <w:rsid w:val="008D4D0E"/>
    <w:rsid w:val="008F02E3"/>
    <w:rsid w:val="008F1994"/>
    <w:rsid w:val="009474DF"/>
    <w:rsid w:val="00965098"/>
    <w:rsid w:val="00972BAE"/>
    <w:rsid w:val="00973416"/>
    <w:rsid w:val="009863A6"/>
    <w:rsid w:val="009A38BE"/>
    <w:rsid w:val="009C03C9"/>
    <w:rsid w:val="009D7440"/>
    <w:rsid w:val="00A46BD9"/>
    <w:rsid w:val="00A47626"/>
    <w:rsid w:val="00A81BE2"/>
    <w:rsid w:val="00A825B7"/>
    <w:rsid w:val="00A844D8"/>
    <w:rsid w:val="00AC2617"/>
    <w:rsid w:val="00AD1037"/>
    <w:rsid w:val="00AD19E6"/>
    <w:rsid w:val="00B30457"/>
    <w:rsid w:val="00B34A92"/>
    <w:rsid w:val="00B43FDA"/>
    <w:rsid w:val="00B54E72"/>
    <w:rsid w:val="00B54EB3"/>
    <w:rsid w:val="00B66919"/>
    <w:rsid w:val="00B72BB2"/>
    <w:rsid w:val="00B84CE2"/>
    <w:rsid w:val="00BA0EC5"/>
    <w:rsid w:val="00BA611A"/>
    <w:rsid w:val="00BB0D5B"/>
    <w:rsid w:val="00BB5E82"/>
    <w:rsid w:val="00BF3330"/>
    <w:rsid w:val="00C03562"/>
    <w:rsid w:val="00C365B9"/>
    <w:rsid w:val="00C43267"/>
    <w:rsid w:val="00C435D7"/>
    <w:rsid w:val="00C43950"/>
    <w:rsid w:val="00C67C7A"/>
    <w:rsid w:val="00C952DC"/>
    <w:rsid w:val="00CB3C57"/>
    <w:rsid w:val="00CB75A2"/>
    <w:rsid w:val="00CC3406"/>
    <w:rsid w:val="00CD69CB"/>
    <w:rsid w:val="00CE2159"/>
    <w:rsid w:val="00CF3B69"/>
    <w:rsid w:val="00D02924"/>
    <w:rsid w:val="00D12311"/>
    <w:rsid w:val="00D17612"/>
    <w:rsid w:val="00D22A76"/>
    <w:rsid w:val="00D35643"/>
    <w:rsid w:val="00D53351"/>
    <w:rsid w:val="00D71C3C"/>
    <w:rsid w:val="00D76E26"/>
    <w:rsid w:val="00DA0E42"/>
    <w:rsid w:val="00DD388E"/>
    <w:rsid w:val="00E3098B"/>
    <w:rsid w:val="00E43D89"/>
    <w:rsid w:val="00E729D9"/>
    <w:rsid w:val="00E7546E"/>
    <w:rsid w:val="00E83709"/>
    <w:rsid w:val="00E9365E"/>
    <w:rsid w:val="00EA6D22"/>
    <w:rsid w:val="00EC0485"/>
    <w:rsid w:val="00EC35C3"/>
    <w:rsid w:val="00ED6986"/>
    <w:rsid w:val="00EE2B40"/>
    <w:rsid w:val="00EF1C8D"/>
    <w:rsid w:val="00F16214"/>
    <w:rsid w:val="00F243C9"/>
    <w:rsid w:val="00F24507"/>
    <w:rsid w:val="00F341E4"/>
    <w:rsid w:val="00F463FA"/>
    <w:rsid w:val="00F77510"/>
    <w:rsid w:val="00FE68A9"/>
    <w:rsid w:val="01BFE387"/>
    <w:rsid w:val="0720FCAC"/>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872454"/>
  <w15:chartTrackingRefBased/>
  <w15:docId w15:val="{6374E8E5-619C-4E29-B665-8803951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uiPriority w:val="39"/>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numbering" w:customStyle="1" w:styleId="Semlista1">
    <w:name w:val="Sem lista1"/>
    <w:next w:val="Semlista"/>
    <w:uiPriority w:val="99"/>
    <w:semiHidden/>
    <w:unhideWhenUsed/>
    <w:rsid w:val="00D02924"/>
  </w:style>
  <w:style w:type="paragraph" w:styleId="Textodebalo">
    <w:name w:val="Balloon Text"/>
    <w:basedOn w:val="Normal"/>
    <w:link w:val="TextodebaloChar"/>
    <w:uiPriority w:val="99"/>
    <w:unhideWhenUsed/>
    <w:rsid w:val="00D02924"/>
    <w:rPr>
      <w:rFonts w:ascii="Segoe UI" w:hAnsi="Segoe UI" w:cs="Segoe UI"/>
      <w:sz w:val="18"/>
      <w:szCs w:val="18"/>
    </w:rPr>
  </w:style>
  <w:style w:type="character" w:customStyle="1" w:styleId="TextodebaloChar">
    <w:name w:val="Texto de balão Char"/>
    <w:link w:val="Textodebalo"/>
    <w:uiPriority w:val="99"/>
    <w:rsid w:val="00D02924"/>
    <w:rPr>
      <w:rFonts w:ascii="Segoe UI" w:hAnsi="Segoe UI" w:cs="Segoe UI"/>
      <w:sz w:val="18"/>
      <w:szCs w:val="18"/>
    </w:rPr>
  </w:style>
  <w:style w:type="character" w:customStyle="1" w:styleId="apple-converted-space">
    <w:name w:val="apple-converted-space"/>
    <w:rsid w:val="00D02924"/>
  </w:style>
  <w:style w:type="paragraph" w:styleId="Textodenotaderodap">
    <w:name w:val="footnote text"/>
    <w:basedOn w:val="Normal"/>
    <w:link w:val="TextodenotaderodapChar"/>
    <w:uiPriority w:val="99"/>
    <w:unhideWhenUsed/>
    <w:rsid w:val="00D02924"/>
  </w:style>
  <w:style w:type="character" w:customStyle="1" w:styleId="TextodenotaderodapChar">
    <w:name w:val="Texto de nota de rodapé Char"/>
    <w:basedOn w:val="Fontepargpadro"/>
    <w:link w:val="Textodenotaderodap"/>
    <w:uiPriority w:val="99"/>
    <w:rsid w:val="00D02924"/>
  </w:style>
  <w:style w:type="character" w:styleId="Refdenotaderodap">
    <w:name w:val="footnote reference"/>
    <w:uiPriority w:val="99"/>
    <w:unhideWhenUsed/>
    <w:rsid w:val="00D02924"/>
    <w:rPr>
      <w:vertAlign w:val="superscript"/>
    </w:rPr>
  </w:style>
  <w:style w:type="paragraph" w:styleId="PargrafodaLista">
    <w:name w:val="List Paragraph"/>
    <w:basedOn w:val="Normal"/>
    <w:uiPriority w:val="34"/>
    <w:qFormat/>
    <w:rsid w:val="005D6CE5"/>
    <w:pPr>
      <w:ind w:left="708"/>
    </w:pPr>
  </w:style>
  <w:style w:type="character" w:customStyle="1" w:styleId="CabealhoChar">
    <w:name w:val="Cabeçalho Char"/>
    <w:basedOn w:val="Fontepargpadro"/>
    <w:link w:val="Cabealho"/>
    <w:uiPriority w:val="99"/>
    <w:rsid w:val="00B3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cc9aa9b25af1505c1e174c68016d7f93">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d9898dd3dffbcd2e923f68eacc679ae1"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BD2ED-E4E8-4516-9D02-54CACAD1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64F8B-8915-44A4-9768-39F3C8186256}">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3.xml><?xml version="1.0" encoding="utf-8"?>
<ds:datastoreItem xmlns:ds="http://schemas.openxmlformats.org/officeDocument/2006/customXml" ds:itemID="{182C8B5B-260B-4F1B-8285-B837CECBF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8614</Characters>
  <Application>Microsoft Office Word</Application>
  <DocSecurity>0</DocSecurity>
  <Lines>71</Lines>
  <Paragraphs>20</Paragraphs>
  <ScaleCrop>false</ScaleCrop>
  <Company>DataEasy</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5</cp:revision>
  <cp:lastPrinted>1900-01-01T02:00:00Z</cp:lastPrinted>
  <dcterms:created xsi:type="dcterms:W3CDTF">2026-03-18T14:17:00Z</dcterms:created>
  <dcterms:modified xsi:type="dcterms:W3CDTF">2026-03-18T14:18:00Z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