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0EE8" w14:textId="589E16C2" w:rsidR="00002660" w:rsidRPr="00F24ACA" w:rsidRDefault="00002660" w:rsidP="00002660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 xml:space="preserve">LEI Nº </w:t>
      </w:r>
      <w:r w:rsidRPr="00F24ACA">
        <w:rPr>
          <w:rFonts w:ascii="Courier New" w:hAnsi="Courier New" w:cs="Courier New"/>
          <w:highlight w:val="yellow"/>
        </w:rPr>
        <w:t>17.</w:t>
      </w:r>
      <w:r w:rsidR="00EA08F4" w:rsidRPr="00F24ACA">
        <w:rPr>
          <w:rFonts w:ascii="Courier New" w:hAnsi="Courier New" w:cs="Courier New"/>
          <w:highlight w:val="yellow"/>
        </w:rPr>
        <w:t>5</w:t>
      </w:r>
      <w:r w:rsidR="00832BC1" w:rsidRPr="00F24ACA">
        <w:rPr>
          <w:rFonts w:ascii="Courier New" w:hAnsi="Courier New" w:cs="Courier New"/>
        </w:rPr>
        <w:t>57</w:t>
      </w:r>
      <w:r w:rsidRPr="00F24ACA">
        <w:rPr>
          <w:rFonts w:ascii="Courier New" w:hAnsi="Courier New" w:cs="Courier New"/>
        </w:rPr>
        <w:t xml:space="preserve">, DE </w:t>
      </w:r>
      <w:r w:rsidR="00080342" w:rsidRPr="00F24ACA">
        <w:rPr>
          <w:rFonts w:ascii="Courier New" w:hAnsi="Courier New" w:cs="Courier New"/>
        </w:rPr>
        <w:t>2</w:t>
      </w:r>
      <w:r w:rsidR="00832BC1" w:rsidRPr="00F24ACA">
        <w:rPr>
          <w:rFonts w:ascii="Courier New" w:hAnsi="Courier New" w:cs="Courier New"/>
        </w:rPr>
        <w:t>1</w:t>
      </w:r>
      <w:r w:rsidRPr="00F24ACA">
        <w:rPr>
          <w:rFonts w:ascii="Courier New" w:hAnsi="Courier New" w:cs="Courier New"/>
        </w:rPr>
        <w:t xml:space="preserve"> DE </w:t>
      </w:r>
      <w:r w:rsidR="00080342" w:rsidRPr="00F24ACA">
        <w:rPr>
          <w:rFonts w:ascii="Courier New" w:hAnsi="Courier New" w:cs="Courier New"/>
        </w:rPr>
        <w:t>JULHO</w:t>
      </w:r>
      <w:r w:rsidRPr="00F24ACA">
        <w:rPr>
          <w:rFonts w:ascii="Courier New" w:hAnsi="Courier New" w:cs="Courier New"/>
        </w:rPr>
        <w:t xml:space="preserve"> DE 202</w:t>
      </w:r>
      <w:r w:rsidR="00EA08F4" w:rsidRPr="00F24ACA">
        <w:rPr>
          <w:rFonts w:ascii="Courier New" w:hAnsi="Courier New" w:cs="Courier New"/>
        </w:rPr>
        <w:t>2</w:t>
      </w:r>
      <w:r w:rsidRPr="00F24ACA">
        <w:rPr>
          <w:rFonts w:ascii="Courier New" w:hAnsi="Courier New" w:cs="Courier New"/>
        </w:rPr>
        <w:t>.</w:t>
      </w:r>
    </w:p>
    <w:p w14:paraId="43DBE49F" w14:textId="77777777" w:rsidR="00F24ACA" w:rsidRPr="00F24ACA" w:rsidRDefault="00F24ACA" w:rsidP="00002660">
      <w:pPr>
        <w:pStyle w:val="TextosemFormatao"/>
        <w:rPr>
          <w:rFonts w:ascii="Courier New" w:hAnsi="Courier New" w:cs="Courier New"/>
        </w:rPr>
      </w:pPr>
    </w:p>
    <w:p w14:paraId="61F7AF99" w14:textId="65DE80ED" w:rsidR="00832BC1" w:rsidRPr="00F24ACA" w:rsidRDefault="00832BC1" w:rsidP="00832BC1">
      <w:pPr>
        <w:spacing w:line="360" w:lineRule="atLeast"/>
        <w:jc w:val="both"/>
        <w:rPr>
          <w:rFonts w:ascii="Verdana" w:hAnsi="Verdana"/>
          <w:bCs/>
        </w:rPr>
      </w:pPr>
      <w:r w:rsidRPr="00F24ACA">
        <w:rPr>
          <w:rFonts w:ascii="Verdana" w:hAnsi="Verdana"/>
          <w:bCs/>
        </w:rPr>
        <w:t xml:space="preserve">(Projeto de lei nº 277, de 2022, dos Deputados Vinícius Camarinha - PSDB, Carla Morando - PSDB, Mauro </w:t>
      </w:r>
      <w:proofErr w:type="spellStart"/>
      <w:r w:rsidRPr="00F24ACA">
        <w:rPr>
          <w:rFonts w:ascii="Verdana" w:hAnsi="Verdana"/>
          <w:bCs/>
        </w:rPr>
        <w:t>Bragato</w:t>
      </w:r>
      <w:proofErr w:type="spellEnd"/>
      <w:r w:rsidRPr="00F24ACA">
        <w:rPr>
          <w:rFonts w:ascii="Verdana" w:hAnsi="Verdana"/>
          <w:bCs/>
        </w:rPr>
        <w:t xml:space="preserve"> - PSDB, Itamar Borges - MDB, Sebastião Santos - REPUBLICANOS, Reinaldo </w:t>
      </w:r>
      <w:proofErr w:type="spellStart"/>
      <w:r w:rsidRPr="00F24ACA">
        <w:rPr>
          <w:rFonts w:ascii="Verdana" w:hAnsi="Verdana"/>
          <w:bCs/>
        </w:rPr>
        <w:t>Alguz</w:t>
      </w:r>
      <w:proofErr w:type="spellEnd"/>
      <w:r w:rsidRPr="00F24ACA">
        <w:rPr>
          <w:rFonts w:ascii="Verdana" w:hAnsi="Verdana"/>
          <w:bCs/>
        </w:rPr>
        <w:t xml:space="preserve"> - UNIÃO, Fernando Cury - UNIÃO, Campos Machado - AVANTE, Coronel Telhada - PP, Jorge Wilson Xerife do Consumidor - REPUBLICANOS, Frederico d'Avila - PL, Carlos Cezar - PL, Altair Moraes – REPUBLICANOS e Gil Diniz - PL)</w:t>
      </w:r>
    </w:p>
    <w:p w14:paraId="2404E3C8" w14:textId="77777777" w:rsidR="00F24ACA" w:rsidRPr="00F24ACA" w:rsidRDefault="00F24ACA" w:rsidP="00832BC1">
      <w:pPr>
        <w:spacing w:line="360" w:lineRule="atLeast"/>
        <w:jc w:val="both"/>
        <w:rPr>
          <w:rFonts w:ascii="Verdana" w:hAnsi="Verdana"/>
          <w:bCs/>
        </w:rPr>
      </w:pPr>
    </w:p>
    <w:p w14:paraId="0E002286" w14:textId="6AA347C5" w:rsidR="00832BC1" w:rsidRPr="00F24ACA" w:rsidRDefault="00832BC1" w:rsidP="00832BC1">
      <w:pPr>
        <w:spacing w:line="240" w:lineRule="exact"/>
        <w:jc w:val="both"/>
        <w:rPr>
          <w:rFonts w:ascii="Verdana" w:hAnsi="Verdana"/>
          <w:bCs/>
          <w:i/>
          <w:iCs/>
        </w:rPr>
      </w:pPr>
      <w:r w:rsidRPr="00F24ACA">
        <w:rPr>
          <w:rFonts w:ascii="Verdana" w:hAnsi="Verdana"/>
          <w:bCs/>
          <w:i/>
          <w:iCs/>
        </w:rPr>
        <w:t>Dispõe sobre a criação do Programa Estadual de Regularização de Terras, nos casos em que especifica.</w:t>
      </w:r>
    </w:p>
    <w:p w14:paraId="150541C9" w14:textId="77777777" w:rsidR="00F24ACA" w:rsidRPr="00F24ACA" w:rsidRDefault="00F24ACA" w:rsidP="00832BC1">
      <w:pPr>
        <w:spacing w:line="240" w:lineRule="exact"/>
        <w:jc w:val="both"/>
        <w:rPr>
          <w:rFonts w:ascii="Verdana" w:hAnsi="Verdana"/>
          <w:bCs/>
        </w:rPr>
      </w:pPr>
    </w:p>
    <w:p w14:paraId="475DA652" w14:textId="77777777" w:rsidR="00832BC1" w:rsidRPr="00F24ACA" w:rsidRDefault="00832BC1" w:rsidP="00832BC1">
      <w:pPr>
        <w:spacing w:line="360" w:lineRule="atLeast"/>
        <w:rPr>
          <w:rFonts w:ascii="Verdana" w:hAnsi="Verdana"/>
          <w:b/>
          <w:spacing w:val="10"/>
        </w:rPr>
      </w:pPr>
      <w:r w:rsidRPr="00F24ACA">
        <w:rPr>
          <w:rFonts w:ascii="Verdana" w:hAnsi="Verdana"/>
          <w:b/>
          <w:spacing w:val="10"/>
        </w:rPr>
        <w:t>O GOVERNADOR DO ESTADO DE SÃO PAULO:</w:t>
      </w:r>
    </w:p>
    <w:p w14:paraId="350C7979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  <w:b/>
          <w:spacing w:val="10"/>
        </w:rPr>
      </w:pPr>
      <w:r w:rsidRPr="00F24ACA">
        <w:rPr>
          <w:rFonts w:ascii="Verdana" w:hAnsi="Verdana"/>
          <w:b/>
          <w:spacing w:val="10"/>
        </w:rPr>
        <w:t>Faço saber que a Assembleia Legislativa decreta e eu promulgo a seguinte lei:</w:t>
      </w:r>
    </w:p>
    <w:p w14:paraId="2D95C469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1º</w:t>
      </w:r>
      <w:r w:rsidRPr="00F24ACA">
        <w:rPr>
          <w:rFonts w:ascii="Verdana" w:hAnsi="Verdana"/>
        </w:rPr>
        <w:t xml:space="preserve"> - Fica criado o Programa Estadual de Regularização de Terras, que autoriza a Fazenda do Estado a transigir e a celebrar acordos, judicialmente ou administrativamente, para fins de alienação, com vistas a prevenir demandas ou extinguir as que estiverem pendentes, em todas as fases dos seguintes processos:</w:t>
      </w:r>
    </w:p>
    <w:p w14:paraId="476B835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discriminatórios</w:t>
      </w:r>
      <w:proofErr w:type="gramEnd"/>
      <w:r w:rsidRPr="00F24ACA">
        <w:rPr>
          <w:rFonts w:ascii="Verdana" w:hAnsi="Verdana"/>
        </w:rPr>
        <w:t>;</w:t>
      </w:r>
    </w:p>
    <w:p w14:paraId="01F26D0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reivindicatórios</w:t>
      </w:r>
      <w:proofErr w:type="gramEnd"/>
      <w:r w:rsidRPr="00F24ACA">
        <w:rPr>
          <w:rFonts w:ascii="Verdana" w:hAnsi="Verdana"/>
        </w:rPr>
        <w:t>;</w:t>
      </w:r>
    </w:p>
    <w:p w14:paraId="6A18FE0D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III</w:t>
      </w:r>
      <w:r w:rsidRPr="00F24ACA">
        <w:rPr>
          <w:rFonts w:ascii="Verdana" w:hAnsi="Verdana"/>
        </w:rPr>
        <w:t xml:space="preserve"> - regularização de posses em terras devolutas.</w:t>
      </w:r>
    </w:p>
    <w:p w14:paraId="6634C15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Parágrafo único</w:t>
      </w:r>
      <w:r w:rsidRPr="00F24ACA">
        <w:rPr>
          <w:rFonts w:ascii="Verdana" w:hAnsi="Verdana"/>
        </w:rPr>
        <w:t xml:space="preserve"> - Os acordos e transações previstos no “caput” deste artigo abrangerão os imóveis em processos descritos nos incisos I, II e III, não podendo implicar a transmissão, ao transigente ou a terceiros, de quaisquer áreas na posse da Administração Pública estadual. </w:t>
      </w:r>
    </w:p>
    <w:p w14:paraId="29407F54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2º</w:t>
      </w:r>
      <w:r w:rsidRPr="00F24ACA">
        <w:rPr>
          <w:rFonts w:ascii="Verdana" w:hAnsi="Verdana"/>
        </w:rPr>
        <w:t xml:space="preserve"> - A área objeto dos acordos e transações a que se refere esta lei, não poderá ultrapassar o limite estabelecido no § 1º do artigo 188 da Constituição Federal, salvo naquelas ações discriminatórias ajuizadas e sem o trânsito em julgado declarando devolutas as terras, em respeito ao § 2º do artigo 1.245 da Lei Federal nº 10.406, de 10 de janeiro de 2002, que institui o Código Civil.</w:t>
      </w:r>
    </w:p>
    <w:p w14:paraId="781D6CB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1º</w:t>
      </w:r>
      <w:r w:rsidRPr="00F24ACA">
        <w:rPr>
          <w:rFonts w:ascii="Verdana" w:hAnsi="Verdana"/>
        </w:rPr>
        <w:t xml:space="preserve"> - Aplica-se o disposto no “caput” deste artigo aos casos em que houver multiplicidade de ações discriminatórias contra o mesmo particular.</w:t>
      </w:r>
    </w:p>
    <w:p w14:paraId="3B3A77A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lastRenderedPageBreak/>
        <w:t>§ 2º</w:t>
      </w:r>
      <w:r w:rsidRPr="00F24ACA">
        <w:rPr>
          <w:rFonts w:ascii="Verdana" w:hAnsi="Verdana"/>
        </w:rPr>
        <w:t xml:space="preserve"> - As áreas ocupadas insuscetíveis de regularização por excederem o limite previsto no “caput”, poderão ser objeto de titulação parcial até esse limite, conforme dispõe a Lei Federal nº 11.952, de 25 de junho de 2009.</w:t>
      </w:r>
    </w:p>
    <w:p w14:paraId="31E9FA7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3º</w:t>
      </w:r>
      <w:r w:rsidRPr="00F24ACA">
        <w:rPr>
          <w:rFonts w:ascii="Verdana" w:hAnsi="Verdana"/>
        </w:rPr>
        <w:t xml:space="preserve"> - Quando houver condomínio, com mais de um proprietário, registrado na matrícula do imóvel, cada condômino poderá requerer a titulação, obedecidos os requisitos desta lei.</w:t>
      </w:r>
    </w:p>
    <w:p w14:paraId="1DF705C1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4º</w:t>
      </w:r>
      <w:r w:rsidRPr="00F24ACA">
        <w:rPr>
          <w:rFonts w:ascii="Verdana" w:hAnsi="Verdana"/>
        </w:rPr>
        <w:t xml:space="preserve"> - O acordo ou transação de que trata o § 2º deste artigo será precedido de estudo da regularidade dominial do imóvel a ser realizado pelo Estado, mediante prévia remuneração, pelo particular interessado, dos serviços a serem realizados, com base em tabela de preços dos serviços técnicos, constante de portaria.</w:t>
      </w:r>
    </w:p>
    <w:p w14:paraId="4B2EF81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5º</w:t>
      </w:r>
      <w:r w:rsidRPr="00F24ACA">
        <w:rPr>
          <w:rFonts w:ascii="Verdana" w:hAnsi="Verdana"/>
        </w:rPr>
        <w:t xml:space="preserve"> - O ocupante de imóvel que não seja objeto de ação discriminatória e cujas circunstâncias, histórico dominial e localização indiquem a possibilidade de a área de terra ser considerada devoluta, poderá requerer acordo ou transação com a Fazenda do Estado, ficando sujeito à homologação extrajudicial.</w:t>
      </w:r>
    </w:p>
    <w:p w14:paraId="3395290F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3º</w:t>
      </w:r>
      <w:r w:rsidRPr="00F24ACA">
        <w:rPr>
          <w:rFonts w:ascii="Verdana" w:hAnsi="Verdana"/>
        </w:rPr>
        <w:t xml:space="preserve"> - Os acordos e transações a que se refere o programa instituído por esta lei, terão por objeto a alienação onerosa de terras devolutas ou presumivelmente devolutas, à pessoa natural e jurídica, mediante pagamento de preço, definido com base em percentual incidente sobre o valor da terra nua, no importe do valor médio por hectare, referente à respectiva região administrativa, constante da tabela oficial do Instituto de Economia Agrícola – IEA, da Agência Paulista de Tecnologia dos Agronegócios – APTA, da Secretaria de Agricultura e Abastecimento.</w:t>
      </w:r>
    </w:p>
    <w:p w14:paraId="60EECE1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1º</w:t>
      </w:r>
      <w:r w:rsidRPr="00F24ACA">
        <w:rPr>
          <w:rFonts w:ascii="Verdana" w:hAnsi="Verdana"/>
        </w:rPr>
        <w:t xml:space="preserve"> - O percentual a que se refere o “caput” deste artigo, nunca inferior a 10% (dez por cento), será calculado de acordo com as hipóteses e os parâmetros previstos no anexo desta lei, observada a fase processual da ação discriminatória ou da ação reivindicatória, de modo que deverá ser majorado o percentual de acordo com o estágio da fase processual nas respectivas ações judiciais, e reduzido de acordo com o critério da ocupação mansa e pacífica no tempo.</w:t>
      </w:r>
    </w:p>
    <w:p w14:paraId="14C75151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2º</w:t>
      </w:r>
      <w:r w:rsidRPr="00F24ACA">
        <w:rPr>
          <w:rFonts w:ascii="Verdana" w:hAnsi="Verdana"/>
        </w:rPr>
        <w:t xml:space="preserve"> - O pagamento do preço de que trata o “caput” deste artigo poderá ser feito à vista, com prazo de até 90 (noventa) dias após a homologação, com desconto de 10% (dez por cento), em até 120 (cento e vinte) parcelas mensais e consecutivas, ou em até 10 (dez) parcelas anuais consecutivas, corrigindo-se monetariamente o saldo pelo Índice Nacional de Preços ao Consumidor Amplo – IPCA, a cada 12 (doze) meses, ou por índice que venha a substituí-lo.</w:t>
      </w:r>
    </w:p>
    <w:p w14:paraId="083692C0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3º</w:t>
      </w:r>
      <w:r w:rsidRPr="00F24ACA">
        <w:rPr>
          <w:rFonts w:ascii="Verdana" w:hAnsi="Verdana"/>
        </w:rPr>
        <w:t xml:space="preserve"> - O valor da parcela não poderá ser inferior a 20 (vinte) Unidades Fiscais do Estado de São Paulo – </w:t>
      </w:r>
      <w:proofErr w:type="spellStart"/>
      <w:r w:rsidRPr="00F24ACA">
        <w:rPr>
          <w:rFonts w:ascii="Verdana" w:hAnsi="Verdana"/>
        </w:rPr>
        <w:t>UFESPs</w:t>
      </w:r>
      <w:proofErr w:type="spellEnd"/>
      <w:r w:rsidRPr="00F24ACA">
        <w:rPr>
          <w:rFonts w:ascii="Verdana" w:hAnsi="Verdana"/>
        </w:rPr>
        <w:t>.</w:t>
      </w:r>
    </w:p>
    <w:p w14:paraId="4C3D940D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lastRenderedPageBreak/>
        <w:t>§ 4º</w:t>
      </w:r>
      <w:r w:rsidRPr="00F24ACA">
        <w:rPr>
          <w:rFonts w:ascii="Verdana" w:hAnsi="Verdana"/>
        </w:rPr>
        <w:t xml:space="preserve"> - Ocorrendo atraso no pagamento de parcela, serão cobrados juros de mora de 1% (um por cento) ao mês, calculados “pro rata die”, e, em caso de atraso superior a 30 (trinta) dias, multa de 2% (dois por cento) sobre o valor da parcela em atraso.</w:t>
      </w:r>
    </w:p>
    <w:p w14:paraId="61E8E4A7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5º</w:t>
      </w:r>
      <w:r w:rsidRPr="00F24ACA">
        <w:rPr>
          <w:rFonts w:ascii="Verdana" w:hAnsi="Verdana"/>
        </w:rPr>
        <w:t xml:space="preserve"> - Existindo débito pendente, não serão aceitos pagamentos das parcelas subsequentes.</w:t>
      </w:r>
    </w:p>
    <w:p w14:paraId="06BB8996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6º</w:t>
      </w:r>
      <w:r w:rsidRPr="00F24ACA">
        <w:rPr>
          <w:rFonts w:ascii="Verdana" w:hAnsi="Verdana"/>
        </w:rPr>
        <w:t xml:space="preserve"> - A falta de pagamento de 3 (três) parcelas mensais consecutivas ou de 1 (uma) anual, independentemente de notificação ou aviso, acarretará a resolução expressa do instrumento firmado.</w:t>
      </w:r>
    </w:p>
    <w:p w14:paraId="25F38FC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7º</w:t>
      </w:r>
      <w:r w:rsidRPr="00F24ACA">
        <w:rPr>
          <w:rFonts w:ascii="Verdana" w:hAnsi="Verdana"/>
        </w:rPr>
        <w:t xml:space="preserve"> - Ocorrendo qualquer condição resolutiva constante do instrumento, fica a Fazenda do Estado autorizada a adotar as medidas administrativas e judiciais cabíveis, inclusive aquelas necessárias à imissão na posse do imóvel e cancelamento dos registros imobiliários em nome do interessado.</w:t>
      </w:r>
    </w:p>
    <w:p w14:paraId="2115FCEB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8º</w:t>
      </w:r>
      <w:r w:rsidRPr="00F24ACA">
        <w:rPr>
          <w:rFonts w:ascii="Verdana" w:hAnsi="Verdana"/>
        </w:rPr>
        <w:t xml:space="preserve"> - A alienação de terras presumivelmente devolutas de que trata o “caput” deste artigo fica condicionada ao prévio reconhecimento, pelo ocupante adquirente, da </w:t>
      </w:r>
      <w:proofErr w:type="spellStart"/>
      <w:r w:rsidRPr="00F24ACA">
        <w:rPr>
          <w:rFonts w:ascii="Verdana" w:hAnsi="Verdana"/>
        </w:rPr>
        <w:t>dominialidade</w:t>
      </w:r>
      <w:proofErr w:type="spellEnd"/>
      <w:r w:rsidRPr="00F24ACA">
        <w:rPr>
          <w:rFonts w:ascii="Verdana" w:hAnsi="Verdana"/>
        </w:rPr>
        <w:t xml:space="preserve"> pública do imóvel.</w:t>
      </w:r>
    </w:p>
    <w:p w14:paraId="51C872B1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9º</w:t>
      </w:r>
      <w:r w:rsidRPr="00F24ACA">
        <w:rPr>
          <w:rFonts w:ascii="Verdana" w:hAnsi="Verdana"/>
        </w:rPr>
        <w:t xml:space="preserve"> - Os recursos arrecadados com a alienação onerosa de que trata o “caput” deste artigo serão prioritariamente destinados a políticas públicas de saúde, educação e desenvolvimento social e econômico do Estado, priorizando investimentos nos respectivos municípios onde houver a regularização fundiária.</w:t>
      </w:r>
    </w:p>
    <w:p w14:paraId="13F478A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4º</w:t>
      </w:r>
      <w:r w:rsidRPr="00F24ACA">
        <w:rPr>
          <w:rFonts w:ascii="Verdana" w:hAnsi="Verdana"/>
        </w:rPr>
        <w:t xml:space="preserve"> - Os acordos e transações a que se refere o programa instituído por esta lei, serão formalizados por escritura pública, termo de consolidação de domínio ou outro instrumento cabível, identificando-se e descrevendo-se as áreas, preço, condições, detalhes e especificidades do negócio jurídico, de acordo com a legislação aplicável e com a regulamentação da presente lei.</w:t>
      </w:r>
    </w:p>
    <w:p w14:paraId="6B2B0096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1º</w:t>
      </w:r>
      <w:r w:rsidRPr="00F24ACA">
        <w:rPr>
          <w:rFonts w:ascii="Verdana" w:hAnsi="Verdana"/>
        </w:rPr>
        <w:t xml:space="preserve"> - A Fazenda do Estado renunciará ao direito de discriminar ou reivindicar as terras alienadas ao particular transigente, desde que devidamente homologado o negócio jurídico.</w:t>
      </w:r>
    </w:p>
    <w:p w14:paraId="1E265935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2º</w:t>
      </w:r>
      <w:r w:rsidRPr="00F24ACA">
        <w:rPr>
          <w:rFonts w:ascii="Verdana" w:hAnsi="Verdana"/>
        </w:rPr>
        <w:t xml:space="preserve"> - Vetado</w:t>
      </w:r>
      <w:r w:rsidRPr="00F24ACA">
        <w:rPr>
          <w:rFonts w:ascii="Verdana" w:hAnsi="Verdana"/>
          <w:b/>
          <w:bCs/>
        </w:rPr>
        <w:t>.</w:t>
      </w:r>
    </w:p>
    <w:p w14:paraId="678EAD0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3º</w:t>
      </w:r>
      <w:r w:rsidRPr="00F24ACA">
        <w:rPr>
          <w:rFonts w:ascii="Verdana" w:hAnsi="Verdana"/>
        </w:rPr>
        <w:t xml:space="preserve"> - Na hipótese de acordo ou transação celebrada após o trânsito em julgado da sentença na fase declaratória da ação discriminatória, a Fazenda do Estado poderá expedir termo de consolidação de domínio em nome do particular transigente, desde que sua área esteja regularmente descrita e caracterizada.</w:t>
      </w:r>
    </w:p>
    <w:p w14:paraId="5841A5BA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§ 4º</w:t>
      </w:r>
      <w:r w:rsidRPr="00F24ACA">
        <w:rPr>
          <w:rFonts w:ascii="Verdana" w:hAnsi="Verdana"/>
        </w:rPr>
        <w:t xml:space="preserve"> - Vetado.</w:t>
      </w:r>
    </w:p>
    <w:p w14:paraId="6312404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lastRenderedPageBreak/>
        <w:t>§ 5º</w:t>
      </w:r>
      <w:r w:rsidRPr="00F24ACA">
        <w:rPr>
          <w:rFonts w:ascii="Verdana" w:hAnsi="Verdana"/>
        </w:rPr>
        <w:t xml:space="preserve"> - O instrumento de acordo ou transação lavrado deverá dispor sobre:</w:t>
      </w:r>
    </w:p>
    <w:p w14:paraId="0F1E2FF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1.</w:t>
      </w:r>
      <w:r w:rsidRPr="00F24ACA">
        <w:rPr>
          <w:rFonts w:ascii="Verdana" w:hAnsi="Verdana"/>
        </w:rPr>
        <w:t xml:space="preserve"> o prazo e forma de imissão na posse das áreas, devendo se iniciar e estar concluída no intervalo de 30 (trinta) a 45 (quarenta e cinco) dias, contados da celebração do negócio jurídico;</w:t>
      </w:r>
    </w:p>
    <w:p w14:paraId="35FF30F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2</w:t>
      </w:r>
      <w:r w:rsidRPr="00F24ACA">
        <w:rPr>
          <w:rFonts w:ascii="Verdana" w:hAnsi="Verdana"/>
        </w:rPr>
        <w:t>. com relação ao prazo das parcelas a que alude o § 2º do artigo 3º desta lei, não pode o pagamento da primeira parcela, mensal ou anual, exceder a 15 (quinze) dias, contados da celebração do negócio jurídico.</w:t>
      </w:r>
    </w:p>
    <w:p w14:paraId="1BD89DCB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5º</w:t>
      </w:r>
      <w:r w:rsidRPr="00F24ACA">
        <w:rPr>
          <w:rFonts w:ascii="Verdana" w:hAnsi="Verdana"/>
        </w:rPr>
        <w:t xml:space="preserve"> - O instrumento de acordo ou transação a que se refere o programa instituído por esta lei, celebrado com a Fazenda do Estado, não importará a extinção de eventuais ônus ou gravames relativos à área alienada ao particular transigente, nem o eximirá de eventuais ações reipersecutórias de terceiros.</w:t>
      </w:r>
    </w:p>
    <w:p w14:paraId="4FEDBAF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6º</w:t>
      </w:r>
      <w:r w:rsidRPr="00F24ACA">
        <w:rPr>
          <w:rFonts w:ascii="Verdana" w:hAnsi="Verdana"/>
        </w:rPr>
        <w:t xml:space="preserve"> - A proposta de acordo ou transação a que se refere o programa instituído por esta lei, deverá ser apresentada em até 18 (dezoito) meses da data de publicação desta lei e será autuada e instruída pela Fundação Instituto de Terras do Estado de São Paulo “José Gomes da Silva” – ITESP. </w:t>
      </w:r>
    </w:p>
    <w:p w14:paraId="18CBCD9A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7º</w:t>
      </w:r>
      <w:r w:rsidRPr="00F24ACA">
        <w:rPr>
          <w:rFonts w:ascii="Verdana" w:hAnsi="Verdana"/>
        </w:rPr>
        <w:t xml:space="preserve"> - O interessado instruirá o requerimento com a seguinte documentação, pertinente à demonstração de seu pedido, podendo haver outras exigências definidas em regulamento:</w:t>
      </w:r>
    </w:p>
    <w:p w14:paraId="297EAFD6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comprovação</w:t>
      </w:r>
      <w:proofErr w:type="gramEnd"/>
      <w:r w:rsidRPr="00F24ACA">
        <w:rPr>
          <w:rFonts w:ascii="Verdana" w:hAnsi="Verdana"/>
        </w:rPr>
        <w:t xml:space="preserve"> da ocupação da área; </w:t>
      </w:r>
    </w:p>
    <w:p w14:paraId="50E73879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certidão</w:t>
      </w:r>
      <w:proofErr w:type="gramEnd"/>
      <w:r w:rsidRPr="00F24ACA">
        <w:rPr>
          <w:rFonts w:ascii="Verdana" w:hAnsi="Verdana"/>
        </w:rPr>
        <w:t xml:space="preserve"> imobiliária atualizada; </w:t>
      </w:r>
    </w:p>
    <w:p w14:paraId="138868A4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III</w:t>
      </w:r>
      <w:r w:rsidRPr="00F24ACA">
        <w:rPr>
          <w:rFonts w:ascii="Verdana" w:hAnsi="Verdana"/>
        </w:rPr>
        <w:t xml:space="preserve"> - cópia da contestação apresentada na ação discriminatória ou reivindicatória; </w:t>
      </w:r>
    </w:p>
    <w:p w14:paraId="26A2F41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IV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comprovação</w:t>
      </w:r>
      <w:proofErr w:type="gramEnd"/>
      <w:r w:rsidRPr="00F24ACA">
        <w:rPr>
          <w:rFonts w:ascii="Verdana" w:hAnsi="Verdana"/>
        </w:rPr>
        <w:t xml:space="preserve"> de que vem cumprindo a função social da propriedade rural por meio do Certificado de Cadastro do Imóvel Rural – CCIR, e de acordo com o regulamento do Instituto Nacional de Colonização e Reforma Agrária – INCRA;</w:t>
      </w:r>
    </w:p>
    <w:p w14:paraId="3026582A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V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comprovação</w:t>
      </w:r>
      <w:proofErr w:type="gramEnd"/>
      <w:r w:rsidRPr="00F24ACA">
        <w:rPr>
          <w:rFonts w:ascii="Verdana" w:hAnsi="Verdana"/>
        </w:rPr>
        <w:t xml:space="preserve"> de que ocupa a área de modo manso e pacífico, por si ou seus sucessores, pelo ocupante histórico, pelo atual possuidor do imóvel, facultado unir a sua posse direta ou indireta à do antecessor, contada conforme as regras do Código Civil, artigos 1.207 e 1.243, para efeitos desta lei;</w:t>
      </w:r>
    </w:p>
    <w:p w14:paraId="0E0354D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 xml:space="preserve">VI </w:t>
      </w:r>
      <w:r w:rsidRPr="00F24ACA">
        <w:rPr>
          <w:rFonts w:ascii="Verdana" w:hAnsi="Verdana"/>
        </w:rPr>
        <w:t xml:space="preserve">- </w:t>
      </w:r>
      <w:proofErr w:type="gramStart"/>
      <w:r w:rsidRPr="00F24ACA">
        <w:rPr>
          <w:rFonts w:ascii="Verdana" w:hAnsi="Verdana"/>
        </w:rPr>
        <w:t>comprovação</w:t>
      </w:r>
      <w:proofErr w:type="gramEnd"/>
      <w:r w:rsidRPr="00F24ACA">
        <w:rPr>
          <w:rFonts w:ascii="Verdana" w:hAnsi="Verdana"/>
        </w:rPr>
        <w:t xml:space="preserve"> de que promove exploração direta ou indireta da área rural, por meio do declarado junto ao INCRA/ITR/CCIR.</w:t>
      </w:r>
    </w:p>
    <w:p w14:paraId="4C2D3CCB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Parágrafo único</w:t>
      </w:r>
      <w:r w:rsidRPr="00F24ACA">
        <w:rPr>
          <w:rFonts w:ascii="Verdana" w:hAnsi="Verdana"/>
        </w:rPr>
        <w:t xml:space="preserve"> - Autuado o requerimento, a Fundação ITESP solicitará à Procuradoria Geral do Estado, em caráter preliminar:</w:t>
      </w:r>
    </w:p>
    <w:p w14:paraId="5FBE2F9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1.</w:t>
      </w:r>
      <w:r w:rsidRPr="00F24ACA">
        <w:rPr>
          <w:rFonts w:ascii="Verdana" w:hAnsi="Verdana"/>
        </w:rPr>
        <w:t xml:space="preserve"> cópia da réplica da Fazenda do Estado à contestação;</w:t>
      </w:r>
    </w:p>
    <w:p w14:paraId="6725F28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lastRenderedPageBreak/>
        <w:t>2.</w:t>
      </w:r>
      <w:r w:rsidRPr="00F24ACA">
        <w:rPr>
          <w:rFonts w:ascii="Verdana" w:hAnsi="Verdana"/>
        </w:rPr>
        <w:t xml:space="preserve"> manifestação sobre a legitimidade do interessado para o acordo, eventuais interesses de terceiros e outras questões pertinentes, discutidas judicialmente ou não.</w:t>
      </w:r>
    </w:p>
    <w:p w14:paraId="7833BBF2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8º</w:t>
      </w:r>
      <w:r w:rsidRPr="00F24ACA">
        <w:rPr>
          <w:rFonts w:ascii="Verdana" w:hAnsi="Verdana"/>
        </w:rPr>
        <w:t xml:space="preserve"> - Competirá à Fundação ITESP:</w:t>
      </w:r>
    </w:p>
    <w:p w14:paraId="6190E51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 xml:space="preserve">I </w:t>
      </w:r>
      <w:r w:rsidRPr="00F24ACA">
        <w:rPr>
          <w:rFonts w:ascii="Verdana" w:hAnsi="Verdana"/>
        </w:rPr>
        <w:t xml:space="preserve">- </w:t>
      </w:r>
      <w:proofErr w:type="gramStart"/>
      <w:r w:rsidRPr="00F24ACA">
        <w:rPr>
          <w:rFonts w:ascii="Verdana" w:hAnsi="Verdana"/>
        </w:rPr>
        <w:t>a</w:t>
      </w:r>
      <w:proofErr w:type="gramEnd"/>
      <w:r w:rsidRPr="00F24ACA">
        <w:rPr>
          <w:rFonts w:ascii="Verdana" w:hAnsi="Verdana"/>
        </w:rPr>
        <w:t xml:space="preserve"> análise, medição e demarcação da área objeto do acordo ou transação, que serão previamente remuneradas pelo particular transigente, com base em tabela de preços dos serviços técnicos, constante de regulamentação;</w:t>
      </w:r>
    </w:p>
    <w:p w14:paraId="51D65FD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o</w:t>
      </w:r>
      <w:proofErr w:type="gramEnd"/>
      <w:r w:rsidRPr="00F24ACA">
        <w:rPr>
          <w:rFonts w:ascii="Verdana" w:hAnsi="Verdana"/>
        </w:rPr>
        <w:t xml:space="preserve"> estudo da regularidade dominial do imóvel, nos termos do § 4º do artigo 3º desta lei;</w:t>
      </w:r>
    </w:p>
    <w:p w14:paraId="2EC14915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 xml:space="preserve">III </w:t>
      </w:r>
      <w:r w:rsidRPr="00F24ACA">
        <w:rPr>
          <w:rFonts w:ascii="Verdana" w:hAnsi="Verdana"/>
        </w:rPr>
        <w:t>- o cálculo do preço, de acordo com o disposto no § 1º do artigo 3º, bem como no anexo desta lei;</w:t>
      </w:r>
    </w:p>
    <w:p w14:paraId="2C6D63ED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IV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a</w:t>
      </w:r>
      <w:proofErr w:type="gramEnd"/>
      <w:r w:rsidRPr="00F24ACA">
        <w:rPr>
          <w:rFonts w:ascii="Verdana" w:hAnsi="Verdana"/>
        </w:rPr>
        <w:t xml:space="preserve"> prestação de outros esclarecimentos técnicos de interesse para o exame do assunto.</w:t>
      </w:r>
    </w:p>
    <w:p w14:paraId="29429B9B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Parágrafo único</w:t>
      </w:r>
      <w:r w:rsidRPr="00F24ACA">
        <w:rPr>
          <w:rFonts w:ascii="Verdana" w:hAnsi="Verdana"/>
        </w:rPr>
        <w:t xml:space="preserve"> - Os serviços de medição e de demarcação referidos no inciso I do “caput” deste artigo poderão ser dispensados, se houver conferência e concordância por parte da Fundação ITESP, em relação à planta e ao memorial descritivo do levantamento topográfico georreferenciado, na forma da lei, apresentados pelo particular transigente.</w:t>
      </w:r>
    </w:p>
    <w:p w14:paraId="0479AD2D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9º</w:t>
      </w:r>
      <w:r w:rsidRPr="00F24ACA">
        <w:rPr>
          <w:rFonts w:ascii="Verdana" w:hAnsi="Verdana"/>
        </w:rPr>
        <w:t xml:space="preserve"> - No exame de cada caso, a Fundação ITESP, além das condições e critérios estabelecidos no programa instituído por esta lei, levará em conta os seguintes fatores: </w:t>
      </w:r>
    </w:p>
    <w:p w14:paraId="3FD9CB99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 xml:space="preserve">I </w:t>
      </w:r>
      <w:r w:rsidRPr="00F24ACA">
        <w:rPr>
          <w:rFonts w:ascii="Verdana" w:hAnsi="Verdana"/>
        </w:rPr>
        <w:t xml:space="preserve">- </w:t>
      </w:r>
      <w:proofErr w:type="gramStart"/>
      <w:r w:rsidRPr="00F24ACA">
        <w:rPr>
          <w:rFonts w:ascii="Verdana" w:hAnsi="Verdana"/>
        </w:rPr>
        <w:t>quanto</w:t>
      </w:r>
      <w:proofErr w:type="gramEnd"/>
      <w:r w:rsidRPr="00F24ACA">
        <w:rPr>
          <w:rFonts w:ascii="Verdana" w:hAnsi="Verdana"/>
        </w:rPr>
        <w:t xml:space="preserve"> à ação judicial;</w:t>
      </w:r>
    </w:p>
    <w:p w14:paraId="2AD5D444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II</w:t>
      </w:r>
      <w:r w:rsidRPr="00F24ACA">
        <w:rPr>
          <w:rFonts w:ascii="Verdana" w:hAnsi="Verdana"/>
        </w:rPr>
        <w:t xml:space="preserve"> - </w:t>
      </w:r>
      <w:proofErr w:type="gramStart"/>
      <w:r w:rsidRPr="00F24ACA">
        <w:rPr>
          <w:rFonts w:ascii="Verdana" w:hAnsi="Verdana"/>
        </w:rPr>
        <w:t>a</w:t>
      </w:r>
      <w:proofErr w:type="gramEnd"/>
      <w:r w:rsidRPr="00F24ACA">
        <w:rPr>
          <w:rFonts w:ascii="Verdana" w:hAnsi="Verdana"/>
        </w:rPr>
        <w:t xml:space="preserve"> situação jurídica do título de domínio de cada imóvel.</w:t>
      </w:r>
    </w:p>
    <w:p w14:paraId="0894C57C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10</w:t>
      </w:r>
      <w:r w:rsidRPr="00F24ACA">
        <w:rPr>
          <w:rFonts w:ascii="Verdana" w:hAnsi="Verdana"/>
        </w:rPr>
        <w:t xml:space="preserve"> - Com o parecer da Diretoria Executiva da Fundação ITESP e manifestação do Secretário da Justiça e Cidadania sobre os aspectos estabelecidos no programa instituído por esta lei, o processo será encaminhado à Procuradoria Geral do Estado para exame de viabilidade jurídica.</w:t>
      </w:r>
    </w:p>
    <w:p w14:paraId="25D58DB8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Parágrafo único</w:t>
      </w:r>
      <w:r w:rsidRPr="00F24ACA">
        <w:rPr>
          <w:rFonts w:ascii="Verdana" w:hAnsi="Verdana"/>
        </w:rPr>
        <w:t xml:space="preserve"> - Se o feito estiver em termos, o acordo será firmado pelo Secretário da Justiça e Cidadania e pelo Procurador Geral do Estado.</w:t>
      </w:r>
    </w:p>
    <w:p w14:paraId="0547AE6E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11</w:t>
      </w:r>
      <w:r w:rsidRPr="00F24ACA">
        <w:rPr>
          <w:rFonts w:ascii="Verdana" w:hAnsi="Verdana"/>
        </w:rPr>
        <w:t xml:space="preserve"> –</w:t>
      </w:r>
      <w:r w:rsidRPr="00F24ACA">
        <w:rPr>
          <w:rFonts w:ascii="Verdana" w:hAnsi="Verdana"/>
          <w:b/>
          <w:bCs/>
        </w:rPr>
        <w:t xml:space="preserve"> </w:t>
      </w:r>
      <w:r w:rsidRPr="00F24ACA">
        <w:rPr>
          <w:rFonts w:ascii="Verdana" w:hAnsi="Verdana"/>
        </w:rPr>
        <w:t>Vetado.</w:t>
      </w:r>
    </w:p>
    <w:p w14:paraId="2A86A159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t>Artigo 12</w:t>
      </w:r>
      <w:r w:rsidRPr="00F24ACA">
        <w:rPr>
          <w:rFonts w:ascii="Verdana" w:hAnsi="Verdana"/>
        </w:rPr>
        <w:t xml:space="preserve"> - Fica revogado o artigo 9º da Lei Estadual nº 4.925, de 19 de dezembro de 1985.</w:t>
      </w:r>
    </w:p>
    <w:p w14:paraId="39F87451" w14:textId="77777777" w:rsidR="00832BC1" w:rsidRPr="00F24ACA" w:rsidRDefault="00832BC1" w:rsidP="00832BC1">
      <w:pPr>
        <w:spacing w:line="360" w:lineRule="atLeast"/>
        <w:jc w:val="both"/>
        <w:rPr>
          <w:rFonts w:ascii="Verdana" w:hAnsi="Verdana"/>
        </w:rPr>
      </w:pPr>
      <w:r w:rsidRPr="00F24ACA">
        <w:rPr>
          <w:rFonts w:ascii="Verdana" w:hAnsi="Verdana"/>
          <w:b/>
          <w:bCs/>
        </w:rPr>
        <w:lastRenderedPageBreak/>
        <w:t>Artigo 13</w:t>
      </w:r>
      <w:r w:rsidRPr="00F24ACA">
        <w:rPr>
          <w:rFonts w:ascii="Verdana" w:hAnsi="Verdana"/>
        </w:rPr>
        <w:t xml:space="preserve"> - Esta lei entra em vigor na data de sua publicação.</w:t>
      </w:r>
    </w:p>
    <w:p w14:paraId="36A4A9A2" w14:textId="20FE8425" w:rsidR="00E32589" w:rsidRPr="00F24ACA" w:rsidRDefault="00E32589" w:rsidP="00495133">
      <w:pPr>
        <w:tabs>
          <w:tab w:val="left" w:pos="2835"/>
          <w:tab w:val="left" w:pos="7428"/>
        </w:tabs>
        <w:spacing w:line="360" w:lineRule="atLeast"/>
        <w:jc w:val="both"/>
        <w:rPr>
          <w:sz w:val="26"/>
          <w:szCs w:val="26"/>
        </w:rPr>
      </w:pPr>
      <w:r w:rsidRPr="00F24ACA">
        <w:rPr>
          <w:rFonts w:ascii="Courier New" w:hAnsi="Courier New" w:cs="Courier New"/>
        </w:rPr>
        <w:t>Palácio do</w:t>
      </w:r>
      <w:r w:rsidR="00485892" w:rsidRPr="00F24ACA">
        <w:rPr>
          <w:rFonts w:ascii="Courier New" w:hAnsi="Courier New" w:cs="Courier New"/>
        </w:rPr>
        <w:t>s Bandeirantes,</w:t>
      </w:r>
      <w:r w:rsidR="0043452D" w:rsidRPr="00F24ACA">
        <w:rPr>
          <w:rFonts w:ascii="Courier New" w:hAnsi="Courier New" w:cs="Courier New"/>
        </w:rPr>
        <w:t xml:space="preserve"> </w:t>
      </w:r>
      <w:r w:rsidR="00080342" w:rsidRPr="00F24ACA">
        <w:rPr>
          <w:rFonts w:ascii="Courier New" w:hAnsi="Courier New" w:cs="Courier New"/>
        </w:rPr>
        <w:t>2</w:t>
      </w:r>
      <w:r w:rsidR="00832BC1" w:rsidRPr="00F24ACA">
        <w:rPr>
          <w:rFonts w:ascii="Courier New" w:hAnsi="Courier New" w:cs="Courier New"/>
        </w:rPr>
        <w:t>1</w:t>
      </w:r>
      <w:r w:rsidR="00485892" w:rsidRPr="00F24ACA">
        <w:rPr>
          <w:rFonts w:ascii="Courier New" w:hAnsi="Courier New" w:cs="Courier New"/>
        </w:rPr>
        <w:t xml:space="preserve"> </w:t>
      </w:r>
      <w:r w:rsidRPr="00F24ACA">
        <w:rPr>
          <w:rFonts w:ascii="Courier New" w:hAnsi="Courier New" w:cs="Courier New"/>
        </w:rPr>
        <w:t xml:space="preserve">de </w:t>
      </w:r>
      <w:r w:rsidR="00080342" w:rsidRPr="00F24ACA">
        <w:rPr>
          <w:rFonts w:ascii="Courier New" w:hAnsi="Courier New" w:cs="Courier New"/>
        </w:rPr>
        <w:t>ju</w:t>
      </w:r>
      <w:r w:rsidR="00187F66" w:rsidRPr="00F24ACA">
        <w:rPr>
          <w:rFonts w:ascii="Courier New" w:hAnsi="Courier New" w:cs="Courier New"/>
        </w:rPr>
        <w:t>l</w:t>
      </w:r>
      <w:r w:rsidR="00080342" w:rsidRPr="00F24ACA">
        <w:rPr>
          <w:rFonts w:ascii="Courier New" w:hAnsi="Courier New" w:cs="Courier New"/>
        </w:rPr>
        <w:t>ho</w:t>
      </w:r>
      <w:r w:rsidR="0059547B" w:rsidRPr="00F24ACA">
        <w:rPr>
          <w:rFonts w:ascii="Courier New" w:hAnsi="Courier New" w:cs="Courier New"/>
        </w:rPr>
        <w:t xml:space="preserve"> </w:t>
      </w:r>
      <w:r w:rsidRPr="00F24ACA">
        <w:rPr>
          <w:rFonts w:ascii="Courier New" w:hAnsi="Courier New" w:cs="Courier New"/>
        </w:rPr>
        <w:t>de 20</w:t>
      </w:r>
      <w:r w:rsidR="00E96F0B" w:rsidRPr="00F24ACA">
        <w:rPr>
          <w:rFonts w:ascii="Courier New" w:hAnsi="Courier New" w:cs="Courier New"/>
        </w:rPr>
        <w:t>2</w:t>
      </w:r>
      <w:r w:rsidR="00EA08F4" w:rsidRPr="00F24ACA">
        <w:rPr>
          <w:rFonts w:ascii="Courier New" w:hAnsi="Courier New" w:cs="Courier New"/>
        </w:rPr>
        <w:t>2</w:t>
      </w:r>
      <w:r w:rsidRPr="00F24ACA">
        <w:rPr>
          <w:rFonts w:ascii="Courier New" w:hAnsi="Courier New" w:cs="Courier New"/>
        </w:rPr>
        <w:t>.</w:t>
      </w:r>
    </w:p>
    <w:p w14:paraId="660C7D5F" w14:textId="3B2D0D87" w:rsidR="00F26DF6" w:rsidRPr="00F24ACA" w:rsidRDefault="00091DB7" w:rsidP="00E101A7">
      <w:pPr>
        <w:pStyle w:val="TextosemFormatao"/>
        <w:tabs>
          <w:tab w:val="left" w:pos="6375"/>
        </w:tabs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>Rodrigo Garcia</w:t>
      </w:r>
    </w:p>
    <w:p w14:paraId="5A0FDE44" w14:textId="77777777" w:rsidR="00944934" w:rsidRPr="00F24ACA" w:rsidRDefault="00944934" w:rsidP="00944934">
      <w:pPr>
        <w:pStyle w:val="TextosemFormatao"/>
        <w:rPr>
          <w:rFonts w:ascii="Courier New" w:hAnsi="Courier New" w:cs="Courier New"/>
        </w:rPr>
      </w:pPr>
      <w:bookmarkStart w:id="0" w:name="_Hlk88750561"/>
      <w:r w:rsidRPr="00F24ACA">
        <w:rPr>
          <w:rFonts w:ascii="Courier New" w:hAnsi="Courier New" w:cs="Courier New"/>
        </w:rPr>
        <w:t>Fernando José da Costa</w:t>
      </w:r>
    </w:p>
    <w:p w14:paraId="2DCEC5E6" w14:textId="62CE565C" w:rsidR="00944934" w:rsidRPr="00F24ACA" w:rsidRDefault="00944934" w:rsidP="00944934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>Secretário da Justiça e Cidadania</w:t>
      </w:r>
    </w:p>
    <w:p w14:paraId="1ADF50C8" w14:textId="77777777" w:rsidR="00832BC1" w:rsidRPr="00F24ACA" w:rsidRDefault="00832BC1" w:rsidP="00832BC1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 xml:space="preserve">Francisco </w:t>
      </w:r>
      <w:proofErr w:type="spellStart"/>
      <w:r w:rsidRPr="00F24ACA">
        <w:rPr>
          <w:rFonts w:ascii="Courier New" w:hAnsi="Courier New" w:cs="Courier New"/>
        </w:rPr>
        <w:t>Matturro</w:t>
      </w:r>
      <w:proofErr w:type="spellEnd"/>
    </w:p>
    <w:p w14:paraId="042ACDD2" w14:textId="77777777" w:rsidR="00832BC1" w:rsidRPr="00F24ACA" w:rsidRDefault="00832BC1" w:rsidP="00832BC1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>Secretário de Agricultura e Abastecimento</w:t>
      </w:r>
    </w:p>
    <w:bookmarkEnd w:id="0"/>
    <w:p w14:paraId="2BAA598D" w14:textId="4E7B024E" w:rsidR="0063532E" w:rsidRPr="00F24ACA" w:rsidRDefault="004B596E" w:rsidP="004F05E7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>Cauê Macris</w:t>
      </w:r>
    </w:p>
    <w:p w14:paraId="413A493E" w14:textId="3001A1E4" w:rsidR="0063532E" w:rsidRPr="00F24ACA" w:rsidRDefault="0063532E" w:rsidP="0063532E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>Secretário</w:t>
      </w:r>
      <w:r w:rsidR="004B596E" w:rsidRPr="00F24ACA">
        <w:rPr>
          <w:rFonts w:ascii="Courier New" w:hAnsi="Courier New" w:cs="Courier New"/>
        </w:rPr>
        <w:t>-Chefe da</w:t>
      </w:r>
      <w:r w:rsidRPr="00F24ACA">
        <w:rPr>
          <w:rFonts w:ascii="Courier New" w:hAnsi="Courier New" w:cs="Courier New"/>
        </w:rPr>
        <w:t xml:space="preserve"> Casa Civil</w:t>
      </w:r>
    </w:p>
    <w:p w14:paraId="7418B340" w14:textId="7128D4B9" w:rsidR="00CD1996" w:rsidRPr="00F24ACA" w:rsidRDefault="00CD1996" w:rsidP="00CD1996">
      <w:pPr>
        <w:pStyle w:val="TextosemFormatao"/>
        <w:rPr>
          <w:rFonts w:ascii="Courier New" w:hAnsi="Courier New" w:cs="Courier New"/>
        </w:rPr>
      </w:pPr>
      <w:r w:rsidRPr="00F24ACA">
        <w:rPr>
          <w:rFonts w:ascii="Courier New" w:hAnsi="Courier New" w:cs="Courier New"/>
        </w:rPr>
        <w:t xml:space="preserve">Publicada na </w:t>
      </w:r>
      <w:r w:rsidR="001264A9" w:rsidRPr="00F24ACA">
        <w:rPr>
          <w:rFonts w:ascii="Courier New" w:hAnsi="Courier New" w:cs="Courier New"/>
        </w:rPr>
        <w:t>Subsecretaria de Gestão Legislativa</w:t>
      </w:r>
      <w:r w:rsidR="009127B8" w:rsidRPr="00F24ACA">
        <w:rPr>
          <w:rFonts w:ascii="Courier New" w:hAnsi="Courier New" w:cs="Courier New"/>
        </w:rPr>
        <w:t xml:space="preserve"> da Casa Civil</w:t>
      </w:r>
      <w:r w:rsidRPr="00F24ACA">
        <w:rPr>
          <w:rFonts w:ascii="Courier New" w:hAnsi="Courier New" w:cs="Courier New"/>
        </w:rPr>
        <w:t xml:space="preserve">, em </w:t>
      </w:r>
      <w:r w:rsidR="00080342" w:rsidRPr="00F24ACA">
        <w:rPr>
          <w:rFonts w:ascii="Courier New" w:hAnsi="Courier New" w:cs="Courier New"/>
        </w:rPr>
        <w:t>2</w:t>
      </w:r>
      <w:r w:rsidR="00832BC1" w:rsidRPr="00F24ACA">
        <w:rPr>
          <w:rFonts w:ascii="Courier New" w:hAnsi="Courier New" w:cs="Courier New"/>
        </w:rPr>
        <w:t>1</w:t>
      </w:r>
      <w:r w:rsidRPr="00F24ACA">
        <w:rPr>
          <w:rFonts w:ascii="Courier New" w:hAnsi="Courier New" w:cs="Courier New"/>
        </w:rPr>
        <w:t xml:space="preserve"> de </w:t>
      </w:r>
      <w:r w:rsidR="00080342" w:rsidRPr="00F24ACA">
        <w:rPr>
          <w:rFonts w:ascii="Courier New" w:hAnsi="Courier New" w:cs="Courier New"/>
        </w:rPr>
        <w:t>ju</w:t>
      </w:r>
      <w:r w:rsidR="00187F66" w:rsidRPr="00F24ACA">
        <w:rPr>
          <w:rFonts w:ascii="Courier New" w:hAnsi="Courier New" w:cs="Courier New"/>
        </w:rPr>
        <w:t>l</w:t>
      </w:r>
      <w:r w:rsidR="00080342" w:rsidRPr="00F24ACA">
        <w:rPr>
          <w:rFonts w:ascii="Courier New" w:hAnsi="Courier New" w:cs="Courier New"/>
        </w:rPr>
        <w:t>ho</w:t>
      </w:r>
      <w:r w:rsidRPr="00F24ACA">
        <w:rPr>
          <w:rFonts w:ascii="Courier New" w:hAnsi="Courier New" w:cs="Courier New"/>
        </w:rPr>
        <w:t xml:space="preserve"> de 20</w:t>
      </w:r>
      <w:r w:rsidR="00E96F0B" w:rsidRPr="00F24ACA">
        <w:rPr>
          <w:rFonts w:ascii="Courier New" w:hAnsi="Courier New" w:cs="Courier New"/>
        </w:rPr>
        <w:t>2</w:t>
      </w:r>
      <w:r w:rsidR="00EA08F4" w:rsidRPr="00F24ACA">
        <w:rPr>
          <w:rFonts w:ascii="Courier New" w:hAnsi="Courier New" w:cs="Courier New"/>
        </w:rPr>
        <w:t>2</w:t>
      </w:r>
      <w:r w:rsidRPr="00F24ACA">
        <w:rPr>
          <w:rFonts w:ascii="Courier New" w:hAnsi="Courier New" w:cs="Courier New"/>
        </w:rPr>
        <w:t>.</w:t>
      </w:r>
    </w:p>
    <w:p w14:paraId="72A19562" w14:textId="7A2F6548" w:rsidR="00E32589" w:rsidRPr="00F24ACA" w:rsidRDefault="00E32589" w:rsidP="00E5048F">
      <w:pPr>
        <w:tabs>
          <w:tab w:val="left" w:pos="3840"/>
        </w:tabs>
      </w:pPr>
    </w:p>
    <w:p w14:paraId="074D6569" w14:textId="77777777" w:rsidR="002C189F" w:rsidRPr="00F24ACA" w:rsidRDefault="002C189F" w:rsidP="00E5048F">
      <w:pPr>
        <w:tabs>
          <w:tab w:val="left" w:pos="3840"/>
        </w:tabs>
      </w:pPr>
    </w:p>
    <w:sectPr w:rsidR="002C189F" w:rsidRPr="00F24ACA" w:rsidSect="00A942C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5"/>
    <w:rsid w:val="00002660"/>
    <w:rsid w:val="00004019"/>
    <w:rsid w:val="00016E54"/>
    <w:rsid w:val="00022C3E"/>
    <w:rsid w:val="00031B4F"/>
    <w:rsid w:val="00031E88"/>
    <w:rsid w:val="00034A12"/>
    <w:rsid w:val="00043C4D"/>
    <w:rsid w:val="00065F8A"/>
    <w:rsid w:val="000719AB"/>
    <w:rsid w:val="000729F2"/>
    <w:rsid w:val="00080342"/>
    <w:rsid w:val="00084AC0"/>
    <w:rsid w:val="00091DB7"/>
    <w:rsid w:val="00093AEA"/>
    <w:rsid w:val="00096A28"/>
    <w:rsid w:val="000A6D1C"/>
    <w:rsid w:val="000B02CB"/>
    <w:rsid w:val="000C4DAB"/>
    <w:rsid w:val="000C5DBE"/>
    <w:rsid w:val="000D3377"/>
    <w:rsid w:val="000F1D71"/>
    <w:rsid w:val="000F29F4"/>
    <w:rsid w:val="000F5EC9"/>
    <w:rsid w:val="0010515B"/>
    <w:rsid w:val="00106968"/>
    <w:rsid w:val="0011622A"/>
    <w:rsid w:val="001200BE"/>
    <w:rsid w:val="001219E5"/>
    <w:rsid w:val="0012466D"/>
    <w:rsid w:val="001264A9"/>
    <w:rsid w:val="00137C49"/>
    <w:rsid w:val="00147A6B"/>
    <w:rsid w:val="001733FE"/>
    <w:rsid w:val="0018481D"/>
    <w:rsid w:val="00187F66"/>
    <w:rsid w:val="00191A0F"/>
    <w:rsid w:val="001935D2"/>
    <w:rsid w:val="001964CC"/>
    <w:rsid w:val="001968FD"/>
    <w:rsid w:val="00196A80"/>
    <w:rsid w:val="001979D2"/>
    <w:rsid w:val="001A7882"/>
    <w:rsid w:val="001B07BC"/>
    <w:rsid w:val="001B288B"/>
    <w:rsid w:val="001B3AFF"/>
    <w:rsid w:val="001B5632"/>
    <w:rsid w:val="001E4C27"/>
    <w:rsid w:val="001E5714"/>
    <w:rsid w:val="001E6540"/>
    <w:rsid w:val="001F04A0"/>
    <w:rsid w:val="001F1B4B"/>
    <w:rsid w:val="001F6A3C"/>
    <w:rsid w:val="002105AA"/>
    <w:rsid w:val="0022140E"/>
    <w:rsid w:val="002231D7"/>
    <w:rsid w:val="00224B8B"/>
    <w:rsid w:val="00234763"/>
    <w:rsid w:val="00247ACE"/>
    <w:rsid w:val="00264E05"/>
    <w:rsid w:val="00272CDC"/>
    <w:rsid w:val="0028329A"/>
    <w:rsid w:val="00287086"/>
    <w:rsid w:val="002968D7"/>
    <w:rsid w:val="00296B63"/>
    <w:rsid w:val="002A32E5"/>
    <w:rsid w:val="002B542A"/>
    <w:rsid w:val="002C189F"/>
    <w:rsid w:val="002C64D3"/>
    <w:rsid w:val="002D2DE8"/>
    <w:rsid w:val="002D7B4E"/>
    <w:rsid w:val="002E389C"/>
    <w:rsid w:val="002E483D"/>
    <w:rsid w:val="0031557E"/>
    <w:rsid w:val="003172A3"/>
    <w:rsid w:val="003271E7"/>
    <w:rsid w:val="00330715"/>
    <w:rsid w:val="00333F14"/>
    <w:rsid w:val="003472D6"/>
    <w:rsid w:val="00352E65"/>
    <w:rsid w:val="00375F9D"/>
    <w:rsid w:val="00380934"/>
    <w:rsid w:val="0038310F"/>
    <w:rsid w:val="00383C17"/>
    <w:rsid w:val="00391473"/>
    <w:rsid w:val="00394F60"/>
    <w:rsid w:val="003C1FE8"/>
    <w:rsid w:val="003D5B40"/>
    <w:rsid w:val="00403AFC"/>
    <w:rsid w:val="00403D54"/>
    <w:rsid w:val="00403D5D"/>
    <w:rsid w:val="00410E61"/>
    <w:rsid w:val="00410FE0"/>
    <w:rsid w:val="004150E9"/>
    <w:rsid w:val="0041703E"/>
    <w:rsid w:val="00422C5B"/>
    <w:rsid w:val="004327DB"/>
    <w:rsid w:val="0043452D"/>
    <w:rsid w:val="00441191"/>
    <w:rsid w:val="00444FF9"/>
    <w:rsid w:val="00453438"/>
    <w:rsid w:val="004571E0"/>
    <w:rsid w:val="00460259"/>
    <w:rsid w:val="004669D4"/>
    <w:rsid w:val="00474719"/>
    <w:rsid w:val="00483160"/>
    <w:rsid w:val="00485892"/>
    <w:rsid w:val="00490FAF"/>
    <w:rsid w:val="004926D6"/>
    <w:rsid w:val="00492EC2"/>
    <w:rsid w:val="00495133"/>
    <w:rsid w:val="0049791F"/>
    <w:rsid w:val="004A1F3D"/>
    <w:rsid w:val="004B596E"/>
    <w:rsid w:val="004B7828"/>
    <w:rsid w:val="004C1F95"/>
    <w:rsid w:val="004C3AFB"/>
    <w:rsid w:val="004C572E"/>
    <w:rsid w:val="004C7AED"/>
    <w:rsid w:val="004C7D75"/>
    <w:rsid w:val="004D0A17"/>
    <w:rsid w:val="004D3B70"/>
    <w:rsid w:val="004D61F6"/>
    <w:rsid w:val="004E0BF4"/>
    <w:rsid w:val="004F05E7"/>
    <w:rsid w:val="004F16AE"/>
    <w:rsid w:val="004F572B"/>
    <w:rsid w:val="00501468"/>
    <w:rsid w:val="00507EF1"/>
    <w:rsid w:val="00510358"/>
    <w:rsid w:val="00516733"/>
    <w:rsid w:val="0051745A"/>
    <w:rsid w:val="00520007"/>
    <w:rsid w:val="00521F2F"/>
    <w:rsid w:val="005240EB"/>
    <w:rsid w:val="00527C16"/>
    <w:rsid w:val="0053496E"/>
    <w:rsid w:val="005474E1"/>
    <w:rsid w:val="005602EB"/>
    <w:rsid w:val="00563A84"/>
    <w:rsid w:val="00567E84"/>
    <w:rsid w:val="00571A7E"/>
    <w:rsid w:val="00573B72"/>
    <w:rsid w:val="00575A79"/>
    <w:rsid w:val="005763DC"/>
    <w:rsid w:val="0057668A"/>
    <w:rsid w:val="00581E22"/>
    <w:rsid w:val="0059003D"/>
    <w:rsid w:val="0059547B"/>
    <w:rsid w:val="00596F9B"/>
    <w:rsid w:val="005A12B6"/>
    <w:rsid w:val="005A594A"/>
    <w:rsid w:val="005B031E"/>
    <w:rsid w:val="005B2247"/>
    <w:rsid w:val="005B58A4"/>
    <w:rsid w:val="005B5A90"/>
    <w:rsid w:val="005C3A53"/>
    <w:rsid w:val="005C4F7F"/>
    <w:rsid w:val="005D6934"/>
    <w:rsid w:val="005F3F5E"/>
    <w:rsid w:val="005F726E"/>
    <w:rsid w:val="006117BC"/>
    <w:rsid w:val="0061320C"/>
    <w:rsid w:val="00613E6D"/>
    <w:rsid w:val="006326E1"/>
    <w:rsid w:val="0063532E"/>
    <w:rsid w:val="0065237F"/>
    <w:rsid w:val="00654AD7"/>
    <w:rsid w:val="00655DF3"/>
    <w:rsid w:val="00657EA9"/>
    <w:rsid w:val="00661D1A"/>
    <w:rsid w:val="00665972"/>
    <w:rsid w:val="00667189"/>
    <w:rsid w:val="00672B00"/>
    <w:rsid w:val="00672BB1"/>
    <w:rsid w:val="00677333"/>
    <w:rsid w:val="00685B3B"/>
    <w:rsid w:val="00686C8B"/>
    <w:rsid w:val="00696737"/>
    <w:rsid w:val="006A2551"/>
    <w:rsid w:val="006B6556"/>
    <w:rsid w:val="006C2234"/>
    <w:rsid w:val="006C60DB"/>
    <w:rsid w:val="006D4023"/>
    <w:rsid w:val="006D4665"/>
    <w:rsid w:val="006F2C9F"/>
    <w:rsid w:val="006F5550"/>
    <w:rsid w:val="00707C0D"/>
    <w:rsid w:val="00714217"/>
    <w:rsid w:val="00721EA0"/>
    <w:rsid w:val="00721F1A"/>
    <w:rsid w:val="007279F5"/>
    <w:rsid w:val="007525B2"/>
    <w:rsid w:val="00764DE7"/>
    <w:rsid w:val="0077355D"/>
    <w:rsid w:val="00774AFB"/>
    <w:rsid w:val="00782218"/>
    <w:rsid w:val="00787302"/>
    <w:rsid w:val="00790497"/>
    <w:rsid w:val="0079108C"/>
    <w:rsid w:val="007936BB"/>
    <w:rsid w:val="007965EB"/>
    <w:rsid w:val="00796749"/>
    <w:rsid w:val="007A63EC"/>
    <w:rsid w:val="007B08FC"/>
    <w:rsid w:val="007B32E9"/>
    <w:rsid w:val="007D5F73"/>
    <w:rsid w:val="007E4A49"/>
    <w:rsid w:val="007F04AF"/>
    <w:rsid w:val="007F4E35"/>
    <w:rsid w:val="00800891"/>
    <w:rsid w:val="00803046"/>
    <w:rsid w:val="00811836"/>
    <w:rsid w:val="00815BBE"/>
    <w:rsid w:val="0081719F"/>
    <w:rsid w:val="00832BC1"/>
    <w:rsid w:val="008371A9"/>
    <w:rsid w:val="0085093D"/>
    <w:rsid w:val="00851D4E"/>
    <w:rsid w:val="0088388B"/>
    <w:rsid w:val="00884900"/>
    <w:rsid w:val="008949B0"/>
    <w:rsid w:val="0089624C"/>
    <w:rsid w:val="008C31D5"/>
    <w:rsid w:val="008C45B1"/>
    <w:rsid w:val="008C4DE5"/>
    <w:rsid w:val="008D22EA"/>
    <w:rsid w:val="008D2A48"/>
    <w:rsid w:val="008D6139"/>
    <w:rsid w:val="008D7285"/>
    <w:rsid w:val="008E31E4"/>
    <w:rsid w:val="008E3B67"/>
    <w:rsid w:val="008E5D0E"/>
    <w:rsid w:val="008E7C8B"/>
    <w:rsid w:val="008F42D6"/>
    <w:rsid w:val="008F6C19"/>
    <w:rsid w:val="00902445"/>
    <w:rsid w:val="009127B8"/>
    <w:rsid w:val="00913A0C"/>
    <w:rsid w:val="009169F0"/>
    <w:rsid w:val="009274F4"/>
    <w:rsid w:val="009335B7"/>
    <w:rsid w:val="00934ECD"/>
    <w:rsid w:val="00943EEB"/>
    <w:rsid w:val="00944934"/>
    <w:rsid w:val="00960673"/>
    <w:rsid w:val="0096574E"/>
    <w:rsid w:val="00977B35"/>
    <w:rsid w:val="00981442"/>
    <w:rsid w:val="00985F6B"/>
    <w:rsid w:val="00991E8D"/>
    <w:rsid w:val="009967F5"/>
    <w:rsid w:val="009968B8"/>
    <w:rsid w:val="009A4D0A"/>
    <w:rsid w:val="009B1182"/>
    <w:rsid w:val="009B1D23"/>
    <w:rsid w:val="009B52B7"/>
    <w:rsid w:val="009B6941"/>
    <w:rsid w:val="009B70F1"/>
    <w:rsid w:val="009C37FD"/>
    <w:rsid w:val="009C5F41"/>
    <w:rsid w:val="009E1E43"/>
    <w:rsid w:val="009E44DF"/>
    <w:rsid w:val="009F20B5"/>
    <w:rsid w:val="009F422A"/>
    <w:rsid w:val="00A035CD"/>
    <w:rsid w:val="00A1335B"/>
    <w:rsid w:val="00A17AE2"/>
    <w:rsid w:val="00A2193A"/>
    <w:rsid w:val="00A337DE"/>
    <w:rsid w:val="00A43541"/>
    <w:rsid w:val="00A454DB"/>
    <w:rsid w:val="00A81968"/>
    <w:rsid w:val="00A8655D"/>
    <w:rsid w:val="00AB0DE4"/>
    <w:rsid w:val="00AB3A86"/>
    <w:rsid w:val="00AC28C3"/>
    <w:rsid w:val="00AC791C"/>
    <w:rsid w:val="00AD0699"/>
    <w:rsid w:val="00AD5FEC"/>
    <w:rsid w:val="00AE1B3A"/>
    <w:rsid w:val="00AE25B3"/>
    <w:rsid w:val="00AF484C"/>
    <w:rsid w:val="00AF70DD"/>
    <w:rsid w:val="00B0761B"/>
    <w:rsid w:val="00B3691E"/>
    <w:rsid w:val="00B402E3"/>
    <w:rsid w:val="00B42CC0"/>
    <w:rsid w:val="00B45B06"/>
    <w:rsid w:val="00B5743C"/>
    <w:rsid w:val="00B60D74"/>
    <w:rsid w:val="00B63835"/>
    <w:rsid w:val="00B767BC"/>
    <w:rsid w:val="00B834B2"/>
    <w:rsid w:val="00B95267"/>
    <w:rsid w:val="00BA00EB"/>
    <w:rsid w:val="00BB0A84"/>
    <w:rsid w:val="00BB4E24"/>
    <w:rsid w:val="00BD7E18"/>
    <w:rsid w:val="00BE4F2F"/>
    <w:rsid w:val="00BE6E9C"/>
    <w:rsid w:val="00C03FBB"/>
    <w:rsid w:val="00C05FF1"/>
    <w:rsid w:val="00C1092E"/>
    <w:rsid w:val="00C16296"/>
    <w:rsid w:val="00C23CC7"/>
    <w:rsid w:val="00C2730C"/>
    <w:rsid w:val="00C36B01"/>
    <w:rsid w:val="00C415B3"/>
    <w:rsid w:val="00C42276"/>
    <w:rsid w:val="00C52613"/>
    <w:rsid w:val="00C62921"/>
    <w:rsid w:val="00C6373C"/>
    <w:rsid w:val="00C71DF8"/>
    <w:rsid w:val="00C73D33"/>
    <w:rsid w:val="00C748E1"/>
    <w:rsid w:val="00C80818"/>
    <w:rsid w:val="00C85888"/>
    <w:rsid w:val="00C8650B"/>
    <w:rsid w:val="00C97846"/>
    <w:rsid w:val="00CD0035"/>
    <w:rsid w:val="00CD1996"/>
    <w:rsid w:val="00CF37A3"/>
    <w:rsid w:val="00CF3A61"/>
    <w:rsid w:val="00CF48AE"/>
    <w:rsid w:val="00D04F72"/>
    <w:rsid w:val="00D11883"/>
    <w:rsid w:val="00D15831"/>
    <w:rsid w:val="00D21F65"/>
    <w:rsid w:val="00D25ACC"/>
    <w:rsid w:val="00D31766"/>
    <w:rsid w:val="00D43AE7"/>
    <w:rsid w:val="00D46DF9"/>
    <w:rsid w:val="00D534DB"/>
    <w:rsid w:val="00D64D3B"/>
    <w:rsid w:val="00D74EA9"/>
    <w:rsid w:val="00D918E1"/>
    <w:rsid w:val="00DA52B9"/>
    <w:rsid w:val="00DB5D44"/>
    <w:rsid w:val="00DB6B33"/>
    <w:rsid w:val="00DC5B69"/>
    <w:rsid w:val="00DD2361"/>
    <w:rsid w:val="00DD4B27"/>
    <w:rsid w:val="00DD6A77"/>
    <w:rsid w:val="00DE173A"/>
    <w:rsid w:val="00DE1934"/>
    <w:rsid w:val="00DE6D9E"/>
    <w:rsid w:val="00DF15F6"/>
    <w:rsid w:val="00DF25B4"/>
    <w:rsid w:val="00DF3DE8"/>
    <w:rsid w:val="00E01ABF"/>
    <w:rsid w:val="00E06131"/>
    <w:rsid w:val="00E07AED"/>
    <w:rsid w:val="00E101A7"/>
    <w:rsid w:val="00E115D5"/>
    <w:rsid w:val="00E15102"/>
    <w:rsid w:val="00E15D23"/>
    <w:rsid w:val="00E17E44"/>
    <w:rsid w:val="00E21D0B"/>
    <w:rsid w:val="00E23DC7"/>
    <w:rsid w:val="00E270AA"/>
    <w:rsid w:val="00E3085C"/>
    <w:rsid w:val="00E32589"/>
    <w:rsid w:val="00E44C6F"/>
    <w:rsid w:val="00E477FB"/>
    <w:rsid w:val="00E5048F"/>
    <w:rsid w:val="00E57B82"/>
    <w:rsid w:val="00E72269"/>
    <w:rsid w:val="00E73ACC"/>
    <w:rsid w:val="00E769E1"/>
    <w:rsid w:val="00E76B54"/>
    <w:rsid w:val="00E81F23"/>
    <w:rsid w:val="00E96F0B"/>
    <w:rsid w:val="00EA08F4"/>
    <w:rsid w:val="00EA0B08"/>
    <w:rsid w:val="00EA502D"/>
    <w:rsid w:val="00EB78FE"/>
    <w:rsid w:val="00ED6E1F"/>
    <w:rsid w:val="00EE5F5C"/>
    <w:rsid w:val="00EF12A5"/>
    <w:rsid w:val="00F04DF3"/>
    <w:rsid w:val="00F07D19"/>
    <w:rsid w:val="00F10E3C"/>
    <w:rsid w:val="00F13172"/>
    <w:rsid w:val="00F157CE"/>
    <w:rsid w:val="00F17102"/>
    <w:rsid w:val="00F17936"/>
    <w:rsid w:val="00F24ACA"/>
    <w:rsid w:val="00F26DF6"/>
    <w:rsid w:val="00F2708F"/>
    <w:rsid w:val="00F32F75"/>
    <w:rsid w:val="00F35E1C"/>
    <w:rsid w:val="00F41CAE"/>
    <w:rsid w:val="00F42853"/>
    <w:rsid w:val="00F471E7"/>
    <w:rsid w:val="00F65E4B"/>
    <w:rsid w:val="00F82197"/>
    <w:rsid w:val="00F9501A"/>
    <w:rsid w:val="00FB3B14"/>
    <w:rsid w:val="00FB3DBE"/>
    <w:rsid w:val="00FC40C8"/>
    <w:rsid w:val="00FC41BF"/>
    <w:rsid w:val="00FC4DB3"/>
    <w:rsid w:val="00FC7D1B"/>
    <w:rsid w:val="00FD639E"/>
    <w:rsid w:val="00FD68A1"/>
    <w:rsid w:val="00FE52F2"/>
    <w:rsid w:val="00FF0C2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4D00"/>
  <w15:docId w15:val="{4BAF650F-193F-446A-B593-B1070F6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56"/>
  </w:style>
  <w:style w:type="paragraph" w:styleId="Ttulo3">
    <w:name w:val="heading 3"/>
    <w:basedOn w:val="Normal"/>
    <w:next w:val="Normal"/>
    <w:link w:val="Ttulo3Char"/>
    <w:qFormat/>
    <w:rsid w:val="0038310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94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942C2"/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rsid w:val="00DF15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F15F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831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474E1"/>
    <w:pPr>
      <w:spacing w:after="120" w:line="240" w:lineRule="auto"/>
      <w:ind w:left="1134"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74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utgrafo-descrioforte">
    <w:name w:val="Autógrafo - descrição forte"/>
    <w:basedOn w:val="Normal"/>
    <w:rsid w:val="00FE52F2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 w:bidi="he-IL"/>
    </w:rPr>
  </w:style>
  <w:style w:type="paragraph" w:customStyle="1" w:styleId="Autgrafo-corpo">
    <w:name w:val="Autógrafo - corpo"/>
    <w:basedOn w:val="Normal"/>
    <w:rsid w:val="00FE52F2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 w:bidi="he-IL"/>
    </w:rPr>
  </w:style>
  <w:style w:type="paragraph" w:customStyle="1" w:styleId="Default">
    <w:name w:val="Default"/>
    <w:rsid w:val="00E73ACC"/>
    <w:pPr>
      <w:autoSpaceDE w:val="0"/>
      <w:autoSpaceDN w:val="0"/>
      <w:adjustRightInd w:val="0"/>
      <w:spacing w:after="0" w:line="360" w:lineRule="exact"/>
      <w:ind w:firstLine="28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1749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marcelletk</dc:creator>
  <cp:lastModifiedBy>Egina Ayako Yamamoto Spinula</cp:lastModifiedBy>
  <cp:revision>3</cp:revision>
  <dcterms:created xsi:type="dcterms:W3CDTF">2022-08-09T17:56:00Z</dcterms:created>
  <dcterms:modified xsi:type="dcterms:W3CDTF">2022-08-09T17:57:00Z</dcterms:modified>
</cp:coreProperties>
</file>