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8474" w14:textId="606C358F" w:rsidR="009E37DE" w:rsidRDefault="009E37DE" w:rsidP="006E408A">
      <w:pPr>
        <w:pStyle w:val="TextosemFormatao"/>
        <w:spacing w:before="60" w:after="60"/>
        <w:jc w:val="center"/>
        <w:rPr>
          <w:rFonts w:ascii="Helvetica" w:hAnsi="Helvetica" w:cs="Courier New"/>
          <w:b/>
          <w:bCs/>
          <w:sz w:val="22"/>
          <w:szCs w:val="22"/>
        </w:rPr>
      </w:pPr>
      <w:r w:rsidRPr="006E408A">
        <w:rPr>
          <w:rFonts w:ascii="Helvetica" w:hAnsi="Helvetica" w:cs="Courier New"/>
          <w:b/>
          <w:bCs/>
          <w:sz w:val="22"/>
          <w:szCs w:val="22"/>
        </w:rPr>
        <w:t>DECRETO Nº 65.792, DE 11 DE JUNHO DE 2021</w:t>
      </w:r>
    </w:p>
    <w:p w14:paraId="324F95C1" w14:textId="77777777" w:rsidR="006E408A" w:rsidRPr="006E408A" w:rsidRDefault="006E408A" w:rsidP="006E408A">
      <w:pPr>
        <w:pStyle w:val="TextosemFormatao"/>
        <w:spacing w:before="60" w:after="60"/>
        <w:jc w:val="center"/>
        <w:rPr>
          <w:rFonts w:ascii="Helvetica" w:hAnsi="Helvetica" w:cs="Courier New"/>
          <w:b/>
          <w:bCs/>
          <w:sz w:val="22"/>
          <w:szCs w:val="22"/>
        </w:rPr>
      </w:pPr>
    </w:p>
    <w:p w14:paraId="6F4C2BC8" w14:textId="3230C8AF" w:rsidR="009E37DE" w:rsidRDefault="009E37DE" w:rsidP="006E408A">
      <w:pPr>
        <w:pStyle w:val="TextosemFormatao"/>
        <w:tabs>
          <w:tab w:val="left" w:pos="7230"/>
        </w:tabs>
        <w:spacing w:before="60" w:after="60"/>
        <w:ind w:left="3686"/>
        <w:jc w:val="both"/>
        <w:rPr>
          <w:rFonts w:ascii="Helvetica" w:hAnsi="Helvetica" w:cs="Courier New"/>
          <w:sz w:val="22"/>
          <w:szCs w:val="22"/>
        </w:rPr>
      </w:pPr>
      <w:r w:rsidRPr="006E408A">
        <w:rPr>
          <w:rFonts w:ascii="Helvetica" w:hAnsi="Helvetica" w:cs="Courier New"/>
          <w:sz w:val="22"/>
          <w:szCs w:val="22"/>
        </w:rPr>
        <w:t>Estende a medida de quarentena de que trata o Decreto nº 64.881, de 22 de março de 2020, e as medidas transitórias, de caráter excepcional, instituídas pelo Decreto nº 65.635, de 16 de abril de 2021, e dá providências correlatas</w:t>
      </w:r>
    </w:p>
    <w:p w14:paraId="148FA490" w14:textId="77777777" w:rsidR="006E408A" w:rsidRPr="006E408A" w:rsidRDefault="006E408A" w:rsidP="006E408A">
      <w:pPr>
        <w:pStyle w:val="TextosemFormatao"/>
        <w:tabs>
          <w:tab w:val="left" w:pos="7230"/>
        </w:tabs>
        <w:spacing w:before="60" w:after="60"/>
        <w:ind w:left="3686"/>
        <w:jc w:val="both"/>
        <w:rPr>
          <w:rFonts w:ascii="Helvetica" w:hAnsi="Helvetica" w:cs="Courier New"/>
          <w:sz w:val="22"/>
          <w:szCs w:val="22"/>
        </w:rPr>
      </w:pPr>
    </w:p>
    <w:p w14:paraId="58388919" w14:textId="1C3DCC73" w:rsidR="009E37DE" w:rsidRPr="006E408A" w:rsidRDefault="006E408A"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JOÃO DORIA, GOVERNADOR DO ESTADO DE SÃO PAULO</w:t>
      </w:r>
      <w:r w:rsidR="009E37DE" w:rsidRPr="006E408A">
        <w:rPr>
          <w:rFonts w:ascii="Helvetica" w:hAnsi="Helvetica" w:cs="Courier New"/>
          <w:sz w:val="22"/>
          <w:szCs w:val="22"/>
        </w:rPr>
        <w:t>, no uso de suas atribuições legais,</w:t>
      </w:r>
    </w:p>
    <w:p w14:paraId="0BF05E39" w14:textId="6AB35EB1"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Considerando</w:t>
      </w:r>
      <w:r w:rsidR="006E408A">
        <w:rPr>
          <w:rFonts w:ascii="Helvetica" w:hAnsi="Helvetica" w:cs="Courier New"/>
          <w:sz w:val="22"/>
          <w:szCs w:val="22"/>
        </w:rPr>
        <w:t xml:space="preserve"> </w:t>
      </w:r>
      <w:r w:rsidRPr="006E408A">
        <w:rPr>
          <w:rFonts w:ascii="Helvetica" w:hAnsi="Helvetica" w:cs="Courier New"/>
          <w:sz w:val="22"/>
          <w:szCs w:val="22"/>
        </w:rPr>
        <w:t>as recomendações do Centro de Contingência do Coronavírus, instituído pela Resolução nº 27, de 13 de março de 2020, da Secretaria da Saúde, fundadas em evidências científicas e informações estratégicas em saúde (Anexo I);</w:t>
      </w:r>
    </w:p>
    <w:p w14:paraId="1F5B77E4" w14:textId="287B867D"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Considerando</w:t>
      </w:r>
      <w:r w:rsidR="006E408A">
        <w:rPr>
          <w:rFonts w:ascii="Helvetica" w:hAnsi="Helvetica" w:cs="Courier New"/>
          <w:sz w:val="22"/>
          <w:szCs w:val="22"/>
        </w:rPr>
        <w:t xml:space="preserve"> </w:t>
      </w:r>
      <w:r w:rsidRPr="006E408A">
        <w:rPr>
          <w:rFonts w:ascii="Helvetica" w:hAnsi="Helvetica" w:cs="Courier New"/>
          <w:sz w:val="22"/>
          <w:szCs w:val="22"/>
        </w:rPr>
        <w:t>a necessidade de conter a disseminação da COVID-19, de garantir o adequado funcionamento dos serviços de saúde e de preservar a saúde pública,</w:t>
      </w:r>
    </w:p>
    <w:p w14:paraId="13132EBD" w14:textId="77777777"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Decreta:</w:t>
      </w:r>
    </w:p>
    <w:p w14:paraId="61F4B205" w14:textId="19BD49C1"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Artigo 1º -</w:t>
      </w:r>
      <w:r w:rsidR="006E408A">
        <w:rPr>
          <w:rFonts w:ascii="Helvetica" w:hAnsi="Helvetica" w:cs="Courier New"/>
          <w:sz w:val="22"/>
          <w:szCs w:val="22"/>
        </w:rPr>
        <w:t xml:space="preserve"> </w:t>
      </w:r>
      <w:r w:rsidRPr="006E408A">
        <w:rPr>
          <w:rFonts w:ascii="Helvetica" w:hAnsi="Helvetica" w:cs="Courier New"/>
          <w:sz w:val="22"/>
          <w:szCs w:val="22"/>
        </w:rPr>
        <w:t>Observados os termos e condições estabelecidos no Decreto nº 64.994, de 28 de maio de 2020, fica estendida, até 30 de junho de 2021, a vigência:</w:t>
      </w:r>
    </w:p>
    <w:p w14:paraId="035E4DDA" w14:textId="133FBC71"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I -</w:t>
      </w:r>
      <w:r w:rsidR="006E408A">
        <w:rPr>
          <w:rFonts w:ascii="Helvetica" w:hAnsi="Helvetica" w:cs="Courier New"/>
          <w:sz w:val="22"/>
          <w:szCs w:val="22"/>
        </w:rPr>
        <w:t xml:space="preserve"> </w:t>
      </w:r>
      <w:proofErr w:type="gramStart"/>
      <w:r w:rsidRPr="006E408A">
        <w:rPr>
          <w:rFonts w:ascii="Helvetica" w:hAnsi="Helvetica" w:cs="Courier New"/>
          <w:sz w:val="22"/>
          <w:szCs w:val="22"/>
        </w:rPr>
        <w:t>da</w:t>
      </w:r>
      <w:proofErr w:type="gramEnd"/>
      <w:r w:rsidRPr="006E408A">
        <w:rPr>
          <w:rFonts w:ascii="Helvetica" w:hAnsi="Helvetica" w:cs="Courier New"/>
          <w:sz w:val="22"/>
          <w:szCs w:val="22"/>
        </w:rPr>
        <w:t xml:space="preserve"> medida de quarentena instituída pelo Decreto nº 64.881, de 22 de março de 2020;</w:t>
      </w:r>
    </w:p>
    <w:p w14:paraId="53DD441D" w14:textId="4D485A5D"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II -</w:t>
      </w:r>
      <w:r w:rsidR="006E408A">
        <w:rPr>
          <w:rFonts w:ascii="Helvetica" w:hAnsi="Helvetica" w:cs="Courier New"/>
          <w:sz w:val="22"/>
          <w:szCs w:val="22"/>
        </w:rPr>
        <w:t xml:space="preserve"> </w:t>
      </w:r>
      <w:proofErr w:type="gramStart"/>
      <w:r w:rsidRPr="006E408A">
        <w:rPr>
          <w:rFonts w:ascii="Helvetica" w:hAnsi="Helvetica" w:cs="Courier New"/>
          <w:sz w:val="22"/>
          <w:szCs w:val="22"/>
        </w:rPr>
        <w:t>da</w:t>
      </w:r>
      <w:proofErr w:type="gramEnd"/>
      <w:r w:rsidRPr="006E408A">
        <w:rPr>
          <w:rFonts w:ascii="Helvetica" w:hAnsi="Helvetica" w:cs="Courier New"/>
          <w:sz w:val="22"/>
          <w:szCs w:val="22"/>
        </w:rPr>
        <w:t xml:space="preserve"> suspensão de atividades não essenciais no âmbito da Administração Pública estadual, nos termos do Decreto nº 64.879, de 20 de março de 2020, independentemente do disposto no artigo 1º deste último;</w:t>
      </w:r>
    </w:p>
    <w:p w14:paraId="6A8AF4E8" w14:textId="2EAE1B80"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III -</w:t>
      </w:r>
      <w:r w:rsidR="006E408A">
        <w:rPr>
          <w:rFonts w:ascii="Helvetica" w:hAnsi="Helvetica" w:cs="Courier New"/>
          <w:sz w:val="22"/>
          <w:szCs w:val="22"/>
        </w:rPr>
        <w:t xml:space="preserve"> </w:t>
      </w:r>
      <w:r w:rsidRPr="006E408A">
        <w:rPr>
          <w:rFonts w:ascii="Helvetica" w:hAnsi="Helvetica" w:cs="Courier New"/>
          <w:sz w:val="22"/>
          <w:szCs w:val="22"/>
        </w:rPr>
        <w:t>das medidas transitórias, de caráter excepcional, instituídas pelo Decreto nº 65.635, de 16 de abril de 2021.</w:t>
      </w:r>
    </w:p>
    <w:p w14:paraId="6FE26974" w14:textId="0C8376CC" w:rsidR="009E37DE" w:rsidRPr="00DB0A06" w:rsidRDefault="009E37DE" w:rsidP="006E408A">
      <w:pPr>
        <w:pStyle w:val="TextosemFormatao"/>
        <w:spacing w:before="60" w:after="60"/>
        <w:ind w:firstLine="1418"/>
        <w:jc w:val="both"/>
        <w:rPr>
          <w:rFonts w:ascii="Helvetica" w:hAnsi="Helvetica" w:cs="Courier New"/>
          <w:b/>
          <w:bCs/>
          <w:color w:val="008000"/>
          <w:sz w:val="22"/>
          <w:szCs w:val="22"/>
        </w:rPr>
      </w:pPr>
      <w:r w:rsidRPr="00DB0A06">
        <w:rPr>
          <w:rFonts w:ascii="Helvetica" w:hAnsi="Helvetica" w:cs="Courier New"/>
          <w:b/>
          <w:bCs/>
          <w:color w:val="008000"/>
          <w:sz w:val="22"/>
          <w:szCs w:val="22"/>
        </w:rPr>
        <w:t>Artigo 2º -</w:t>
      </w:r>
      <w:r w:rsidR="006E408A" w:rsidRPr="00DB0A06">
        <w:rPr>
          <w:rFonts w:ascii="Helvetica" w:hAnsi="Helvetica" w:cs="Courier New"/>
          <w:b/>
          <w:bCs/>
          <w:color w:val="008000"/>
          <w:sz w:val="22"/>
          <w:szCs w:val="22"/>
        </w:rPr>
        <w:t xml:space="preserve"> </w:t>
      </w:r>
      <w:r w:rsidRPr="00DB0A06">
        <w:rPr>
          <w:rFonts w:ascii="Helvetica" w:hAnsi="Helvetica" w:cs="Courier New"/>
          <w:b/>
          <w:bCs/>
          <w:color w:val="008000"/>
          <w:sz w:val="22"/>
          <w:szCs w:val="22"/>
        </w:rPr>
        <w:t>O Anexo II a que alude o item 1 do parágrafo único do artigo 3º do Decreto nº 65.635, de 16 de abril de 2021, com a redação dada pelo Decreto nº 65.731, de 28 de maio de 2021, fica substituído pelo Anexo II deste decreto.</w:t>
      </w:r>
    </w:p>
    <w:p w14:paraId="3E2D1569" w14:textId="770699D0" w:rsidR="00DB0A06" w:rsidRDefault="00DB0A06" w:rsidP="006E408A">
      <w:pPr>
        <w:pStyle w:val="TextosemFormatao"/>
        <w:spacing w:before="60" w:after="60"/>
        <w:ind w:firstLine="1418"/>
        <w:jc w:val="both"/>
        <w:rPr>
          <w:rFonts w:ascii="Helvetica" w:hAnsi="Helvetica" w:cs="Courier New"/>
          <w:sz w:val="22"/>
          <w:szCs w:val="22"/>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65.839, de 30 de junho de 2021</w:t>
      </w:r>
    </w:p>
    <w:p w14:paraId="5BF48D09" w14:textId="1A18A2DF"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Artigo 3º -</w:t>
      </w:r>
      <w:r w:rsidR="006E408A">
        <w:rPr>
          <w:rFonts w:ascii="Helvetica" w:hAnsi="Helvetica" w:cs="Courier New"/>
          <w:sz w:val="22"/>
          <w:szCs w:val="22"/>
        </w:rPr>
        <w:t xml:space="preserve"> </w:t>
      </w:r>
      <w:r w:rsidRPr="006E408A">
        <w:rPr>
          <w:rFonts w:ascii="Helvetica" w:hAnsi="Helvetica" w:cs="Courier New"/>
          <w:sz w:val="22"/>
          <w:szCs w:val="22"/>
        </w:rPr>
        <w:t>Respeitado o disposto neste decreto, fica a vigência do Decreto nº 65.635, de 16 de abril de 2021, estendida até 30 de junho de 2021.</w:t>
      </w:r>
    </w:p>
    <w:p w14:paraId="4FD382E3" w14:textId="09ABFCDB"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Artigo 4º -</w:t>
      </w:r>
      <w:r w:rsidR="006E408A">
        <w:rPr>
          <w:rFonts w:ascii="Helvetica" w:hAnsi="Helvetica" w:cs="Courier New"/>
          <w:sz w:val="22"/>
          <w:szCs w:val="22"/>
        </w:rPr>
        <w:t xml:space="preserve"> </w:t>
      </w:r>
      <w:r w:rsidRPr="006E408A">
        <w:rPr>
          <w:rFonts w:ascii="Helvetica" w:hAnsi="Helvetica" w:cs="Courier New"/>
          <w:sz w:val="22"/>
          <w:szCs w:val="22"/>
        </w:rPr>
        <w:t>Este decreto entra em vigor em 14 de junho de 2021, ficando revogadas as disposições em contrário, em especial</w:t>
      </w:r>
      <w:r w:rsidR="006E408A">
        <w:rPr>
          <w:rFonts w:ascii="Helvetica" w:hAnsi="Helvetica" w:cs="Courier New"/>
          <w:sz w:val="22"/>
          <w:szCs w:val="22"/>
        </w:rPr>
        <w:t xml:space="preserve"> </w:t>
      </w:r>
      <w:r w:rsidRPr="006E408A">
        <w:rPr>
          <w:rFonts w:ascii="Helvetica" w:hAnsi="Helvetica" w:cs="Courier New"/>
          <w:sz w:val="22"/>
          <w:szCs w:val="22"/>
        </w:rPr>
        <w:t>o artigo 2º do Decreto nº 65.731, de 28 de maio de 2021.</w:t>
      </w:r>
    </w:p>
    <w:p w14:paraId="00511888" w14:textId="77777777" w:rsidR="009E37DE" w:rsidRPr="006E408A"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Palácio dos Bandeirantes, 11 de junho de 2021</w:t>
      </w:r>
    </w:p>
    <w:p w14:paraId="4226D99F" w14:textId="24AD8D42" w:rsidR="009E37DE" w:rsidRDefault="009E37DE" w:rsidP="006E408A">
      <w:pPr>
        <w:pStyle w:val="TextosemFormatao"/>
        <w:spacing w:before="60" w:after="60"/>
        <w:ind w:firstLine="1418"/>
        <w:jc w:val="both"/>
        <w:rPr>
          <w:rFonts w:ascii="Helvetica" w:hAnsi="Helvetica" w:cs="Courier New"/>
          <w:sz w:val="22"/>
          <w:szCs w:val="22"/>
        </w:rPr>
      </w:pPr>
      <w:r w:rsidRPr="006E408A">
        <w:rPr>
          <w:rFonts w:ascii="Helvetica" w:hAnsi="Helvetica" w:cs="Courier New"/>
          <w:sz w:val="22"/>
          <w:szCs w:val="22"/>
        </w:rPr>
        <w:t>JOÃO DORIA</w:t>
      </w:r>
    </w:p>
    <w:p w14:paraId="2CA85160" w14:textId="50469123" w:rsidR="00ED5712" w:rsidRDefault="00ED5712" w:rsidP="006E408A">
      <w:pPr>
        <w:pStyle w:val="TextosemFormatao"/>
        <w:spacing w:before="60" w:after="60"/>
        <w:ind w:firstLine="1418"/>
        <w:jc w:val="both"/>
        <w:rPr>
          <w:rFonts w:ascii="Helvetica" w:hAnsi="Helvetica" w:cs="Courier New"/>
          <w:b/>
          <w:bCs/>
          <w:sz w:val="22"/>
          <w:szCs w:val="22"/>
        </w:rPr>
      </w:pPr>
    </w:p>
    <w:p w14:paraId="7DCCF252" w14:textId="5EDA9EA2" w:rsidR="00ED5712" w:rsidRPr="00ED5712" w:rsidRDefault="00ED5712" w:rsidP="00ED5712">
      <w:pPr>
        <w:pStyle w:val="NormalWeb"/>
        <w:jc w:val="center"/>
        <w:rPr>
          <w:rFonts w:ascii="Helvetica" w:hAnsi="Helvetica"/>
          <w:b/>
          <w:bCs/>
          <w:sz w:val="22"/>
          <w:szCs w:val="22"/>
        </w:rPr>
      </w:pPr>
      <w:r w:rsidRPr="00ED5712">
        <w:rPr>
          <w:rFonts w:ascii="Helvetica" w:hAnsi="Helvetica"/>
          <w:b/>
          <w:bCs/>
          <w:sz w:val="22"/>
          <w:szCs w:val="22"/>
        </w:rPr>
        <w:t>ANEXO I</w:t>
      </w:r>
    </w:p>
    <w:p w14:paraId="3A791DF7" w14:textId="04048F9C" w:rsidR="00ED5712" w:rsidRPr="00ED5712" w:rsidRDefault="00ED5712" w:rsidP="00ED5712">
      <w:pPr>
        <w:pStyle w:val="NormalWeb"/>
        <w:jc w:val="center"/>
        <w:rPr>
          <w:rFonts w:ascii="Helvetica" w:hAnsi="Helvetica"/>
          <w:b/>
          <w:bCs/>
          <w:sz w:val="22"/>
          <w:szCs w:val="22"/>
        </w:rPr>
      </w:pPr>
      <w:r w:rsidRPr="00ED5712">
        <w:rPr>
          <w:rFonts w:ascii="Helvetica" w:hAnsi="Helvetica"/>
          <w:b/>
          <w:bCs/>
          <w:sz w:val="22"/>
          <w:szCs w:val="22"/>
        </w:rPr>
        <w:t>a que se refere o</w:t>
      </w:r>
    </w:p>
    <w:p w14:paraId="537F4F0B" w14:textId="3E061695" w:rsidR="00ED5712" w:rsidRPr="00ED5712" w:rsidRDefault="00ED5712" w:rsidP="00ED5712">
      <w:pPr>
        <w:pStyle w:val="NormalWeb"/>
        <w:jc w:val="center"/>
        <w:rPr>
          <w:rFonts w:ascii="Helvetica" w:hAnsi="Helvetica"/>
          <w:b/>
          <w:bCs/>
          <w:sz w:val="22"/>
          <w:szCs w:val="22"/>
        </w:rPr>
      </w:pPr>
      <w:r w:rsidRPr="00ED5712">
        <w:rPr>
          <w:rFonts w:ascii="Helvetica" w:hAnsi="Helvetica"/>
          <w:b/>
          <w:bCs/>
          <w:sz w:val="22"/>
          <w:szCs w:val="22"/>
        </w:rPr>
        <w:t>Decreto nº 65.792, de 11 de junho de 2021</w:t>
      </w:r>
    </w:p>
    <w:p w14:paraId="56082951" w14:textId="171BB991" w:rsidR="00ED5712" w:rsidRPr="00ED5712" w:rsidRDefault="00ED5712" w:rsidP="00ED5712">
      <w:pPr>
        <w:pStyle w:val="NormalWeb"/>
        <w:jc w:val="center"/>
        <w:rPr>
          <w:rFonts w:ascii="Helvetica" w:hAnsi="Helvetica"/>
          <w:sz w:val="22"/>
          <w:szCs w:val="22"/>
        </w:rPr>
      </w:pPr>
      <w:r w:rsidRPr="00ED5712">
        <w:rPr>
          <w:rFonts w:ascii="Helvetica" w:hAnsi="Helvetica"/>
          <w:sz w:val="22"/>
          <w:szCs w:val="22"/>
        </w:rPr>
        <w:t>Nota Técnica do Centro de Contingência do Coronavírus</w:t>
      </w:r>
    </w:p>
    <w:p w14:paraId="1225FDD7" w14:textId="77777777" w:rsidR="00ED5712" w:rsidRPr="00ED5712" w:rsidRDefault="00ED5712" w:rsidP="00ED5712">
      <w:pPr>
        <w:pStyle w:val="NormalWeb"/>
        <w:spacing w:before="60" w:beforeAutospacing="0" w:after="60" w:afterAutospacing="0"/>
        <w:ind w:firstLine="1418"/>
        <w:jc w:val="both"/>
        <w:rPr>
          <w:rFonts w:ascii="Helvetica" w:hAnsi="Helvetica"/>
          <w:sz w:val="22"/>
          <w:szCs w:val="22"/>
        </w:rPr>
      </w:pPr>
      <w:r w:rsidRPr="00ED5712">
        <w:rPr>
          <w:rFonts w:ascii="Helvetica" w:hAnsi="Helvetica"/>
          <w:sz w:val="22"/>
          <w:szCs w:val="22"/>
        </w:rPr>
        <w:lastRenderedPageBreak/>
        <w:t xml:space="preserve">Com fundamento no artigo 6º do Decreto nº 64.994, de 28 de maio de 2020, este Centro de Contingência vem apresentar as recomendações que seguem. </w:t>
      </w:r>
    </w:p>
    <w:p w14:paraId="3793A008" w14:textId="0A9D33D7" w:rsidR="00ED5712" w:rsidRPr="00ED5712" w:rsidRDefault="00ED5712" w:rsidP="00ED5712">
      <w:pPr>
        <w:pStyle w:val="NormalWeb"/>
        <w:spacing w:before="60" w:beforeAutospacing="0" w:after="60" w:afterAutospacing="0"/>
        <w:ind w:firstLine="1418"/>
        <w:jc w:val="both"/>
        <w:rPr>
          <w:rFonts w:ascii="Helvetica" w:hAnsi="Helvetica"/>
          <w:sz w:val="22"/>
          <w:szCs w:val="22"/>
        </w:rPr>
      </w:pPr>
      <w:r w:rsidRPr="00ED5712">
        <w:rPr>
          <w:rFonts w:ascii="Helvetica" w:hAnsi="Helvetica"/>
          <w:sz w:val="22"/>
          <w:szCs w:val="22"/>
        </w:rPr>
        <w:t xml:space="preserve">A análise dos índices de evolução da pandemia no Estado de São Paulo e das informações estratégicas do sistema de saúde leva este Centro a recomendar a manutenção das medidas de restrição de atividades não essenciais já adotadas em todo o território estadual. As regras que desestimulam a circulação de pessoas entre 21h e 5h e a limitação da ocupação máxima de espaços de acesso ao público ao máximo de 40% têm sido importantes medidas de precaução para conter a propagação da COVID-19 e, ao mesmo tempo, manter o grau mínimo necessário de restrição de atividades presenciais. </w:t>
      </w:r>
    </w:p>
    <w:p w14:paraId="356F118C" w14:textId="77777777" w:rsidR="00ED5712" w:rsidRPr="00ED5712" w:rsidRDefault="00ED5712" w:rsidP="00ED5712">
      <w:pPr>
        <w:pStyle w:val="NormalWeb"/>
        <w:spacing w:before="60" w:beforeAutospacing="0" w:after="60" w:afterAutospacing="0"/>
        <w:ind w:firstLine="1418"/>
        <w:jc w:val="both"/>
        <w:rPr>
          <w:rFonts w:ascii="Helvetica" w:hAnsi="Helvetica"/>
          <w:sz w:val="22"/>
          <w:szCs w:val="22"/>
        </w:rPr>
      </w:pPr>
      <w:r w:rsidRPr="00ED5712">
        <w:rPr>
          <w:rFonts w:ascii="Helvetica" w:hAnsi="Helvetica"/>
          <w:sz w:val="22"/>
          <w:szCs w:val="22"/>
        </w:rPr>
        <w:t xml:space="preserve">Este Centro destaca que os indicadores atuais da pandemia não autorizam que grau menor de restrição seja adotado em nenhuma parcela do território estadual, sob o risco de prejudicar o planejamento das medidas de enfrentamento até agora adotadas. </w:t>
      </w:r>
    </w:p>
    <w:p w14:paraId="0100FC02" w14:textId="77777777" w:rsidR="00ED5712" w:rsidRPr="00ED5712" w:rsidRDefault="00ED5712" w:rsidP="00ED5712">
      <w:pPr>
        <w:pStyle w:val="NormalWeb"/>
        <w:spacing w:before="60" w:beforeAutospacing="0" w:after="60" w:afterAutospacing="0"/>
        <w:ind w:firstLine="1418"/>
        <w:jc w:val="both"/>
        <w:rPr>
          <w:rFonts w:ascii="Helvetica" w:hAnsi="Helvetica"/>
          <w:sz w:val="22"/>
          <w:szCs w:val="22"/>
        </w:rPr>
      </w:pPr>
      <w:r w:rsidRPr="00ED5712">
        <w:rPr>
          <w:rFonts w:ascii="Helvetica" w:hAnsi="Helvetica"/>
          <w:sz w:val="22"/>
          <w:szCs w:val="22"/>
        </w:rPr>
        <w:t xml:space="preserve">Por outro lado, cumpre lembrar a recomendação de que, em Municípios com índice de ocupação de leitos-UTI superior a 90%, a autoridade local de saúde amplie o grau de restrição de desempenho de atividades, com a finalidade de prevenir o atingimento desse mesmo índice na área do DRS respectivo. Nessas localidades, é recomendável que a circulação de pessoas entre 19h e 5h seja fortemente desestimulada. </w:t>
      </w:r>
    </w:p>
    <w:p w14:paraId="1DD08B88" w14:textId="77777777" w:rsidR="00ED5712" w:rsidRPr="00ED5712" w:rsidRDefault="00ED5712" w:rsidP="00ED5712">
      <w:pPr>
        <w:pStyle w:val="NormalWeb"/>
        <w:spacing w:before="60" w:beforeAutospacing="0" w:after="60" w:afterAutospacing="0"/>
        <w:ind w:firstLine="1418"/>
        <w:jc w:val="both"/>
        <w:rPr>
          <w:rFonts w:ascii="Helvetica" w:hAnsi="Helvetica"/>
          <w:sz w:val="22"/>
          <w:szCs w:val="22"/>
        </w:rPr>
      </w:pPr>
      <w:r w:rsidRPr="00ED5712">
        <w:rPr>
          <w:rFonts w:ascii="Helvetica" w:hAnsi="Helvetica"/>
          <w:sz w:val="22"/>
          <w:szCs w:val="22"/>
        </w:rPr>
        <w:t xml:space="preserve">Por fim, este Centro permanece atento à velocidade e extensão da vacinação, reforçando a imprescindibilidade da manutenção de rigorosa observância das medidas não farmacológicas de contenção da disseminação da doença, em especial o uso de máscara de proteção facial, inclusive em ambientes ao ar livre. </w:t>
      </w:r>
    </w:p>
    <w:p w14:paraId="648599BA" w14:textId="77777777" w:rsidR="00ED5712" w:rsidRPr="00ED5712" w:rsidRDefault="00ED5712" w:rsidP="00ED5712">
      <w:pPr>
        <w:pStyle w:val="NormalWeb"/>
        <w:spacing w:before="60" w:beforeAutospacing="0" w:after="60" w:afterAutospacing="0"/>
        <w:ind w:firstLine="1418"/>
        <w:jc w:val="both"/>
        <w:rPr>
          <w:rFonts w:ascii="Helvetica" w:hAnsi="Helvetica"/>
          <w:sz w:val="22"/>
          <w:szCs w:val="22"/>
        </w:rPr>
      </w:pPr>
      <w:r w:rsidRPr="00ED5712">
        <w:rPr>
          <w:rFonts w:ascii="Helvetica" w:hAnsi="Helvetica"/>
          <w:sz w:val="22"/>
          <w:szCs w:val="22"/>
        </w:rPr>
        <w:t xml:space="preserve">São Paulo, 11 de junho de 2021 </w:t>
      </w:r>
    </w:p>
    <w:p w14:paraId="7467582F" w14:textId="77777777" w:rsidR="00ED5712" w:rsidRPr="00ED5712" w:rsidRDefault="00ED5712" w:rsidP="00ED5712">
      <w:pPr>
        <w:pStyle w:val="NormalWeb"/>
        <w:spacing w:before="60" w:beforeAutospacing="0" w:after="60" w:afterAutospacing="0"/>
        <w:ind w:firstLine="1418"/>
        <w:jc w:val="both"/>
        <w:rPr>
          <w:rFonts w:ascii="Helvetica" w:hAnsi="Helvetica"/>
          <w:sz w:val="22"/>
          <w:szCs w:val="22"/>
        </w:rPr>
      </w:pPr>
      <w:r w:rsidRPr="00ED5712">
        <w:rPr>
          <w:rFonts w:ascii="Helvetica" w:hAnsi="Helvetica"/>
          <w:sz w:val="22"/>
          <w:szCs w:val="22"/>
        </w:rPr>
        <w:t xml:space="preserve">_________________________________ </w:t>
      </w:r>
    </w:p>
    <w:p w14:paraId="3BAF02E7" w14:textId="77777777" w:rsidR="00ED5712" w:rsidRPr="00ED5712" w:rsidRDefault="00ED5712" w:rsidP="00ED5712">
      <w:pPr>
        <w:pStyle w:val="NormalWeb"/>
        <w:spacing w:before="60" w:beforeAutospacing="0" w:after="60" w:afterAutospacing="0"/>
        <w:ind w:firstLine="1418"/>
        <w:jc w:val="both"/>
        <w:rPr>
          <w:rFonts w:ascii="Helvetica" w:hAnsi="Helvetica"/>
          <w:sz w:val="22"/>
          <w:szCs w:val="22"/>
        </w:rPr>
      </w:pPr>
      <w:r w:rsidRPr="00ED5712">
        <w:rPr>
          <w:rFonts w:ascii="Helvetica" w:hAnsi="Helvetica"/>
          <w:sz w:val="22"/>
          <w:szCs w:val="22"/>
        </w:rPr>
        <w:t xml:space="preserve">Dr. Paulo Menezes </w:t>
      </w:r>
    </w:p>
    <w:p w14:paraId="440F2D43" w14:textId="1CFC9718" w:rsidR="00ED5712" w:rsidRDefault="00ED5712" w:rsidP="00ED5712">
      <w:pPr>
        <w:pStyle w:val="NormalWeb"/>
        <w:spacing w:before="60" w:beforeAutospacing="0" w:after="60" w:afterAutospacing="0"/>
        <w:ind w:firstLine="1418"/>
        <w:jc w:val="both"/>
        <w:rPr>
          <w:rFonts w:ascii="Helvetica" w:hAnsi="Helvetica"/>
          <w:sz w:val="22"/>
          <w:szCs w:val="22"/>
        </w:rPr>
      </w:pPr>
      <w:r w:rsidRPr="00ED5712">
        <w:rPr>
          <w:rFonts w:ascii="Helvetica" w:hAnsi="Helvetica"/>
          <w:sz w:val="22"/>
          <w:szCs w:val="22"/>
        </w:rPr>
        <w:t>Coordenador do Centro de Contingência</w:t>
      </w:r>
    </w:p>
    <w:p w14:paraId="44F1EBE1" w14:textId="77777777" w:rsidR="000F2652" w:rsidRDefault="000F2652" w:rsidP="000F2652">
      <w:pPr>
        <w:autoSpaceDE w:val="0"/>
        <w:autoSpaceDN w:val="0"/>
        <w:adjustRightInd w:val="0"/>
        <w:spacing w:before="120" w:after="120" w:line="240" w:lineRule="auto"/>
        <w:ind w:firstLine="1418"/>
        <w:jc w:val="both"/>
        <w:rPr>
          <w:rFonts w:ascii="Helvetica" w:hAnsi="Helvetica" w:cs="Helvetica"/>
          <w:b/>
          <w:bCs/>
          <w:color w:val="008000"/>
        </w:rPr>
      </w:pPr>
      <w:r>
        <w:rPr>
          <w:rFonts w:ascii="Helvetica" w:hAnsi="Helvetica" w:cs="Helvetica"/>
          <w:b/>
          <w:bCs/>
          <w:color w:val="008000"/>
        </w:rPr>
        <w:t>Obs.: Anexo II constante para download</w:t>
      </w:r>
    </w:p>
    <w:p w14:paraId="213D41DF" w14:textId="787C92FC" w:rsidR="000F2652" w:rsidRDefault="000F2652" w:rsidP="000F2652">
      <w:pPr>
        <w:pStyle w:val="NormalWeb"/>
        <w:spacing w:before="60" w:beforeAutospacing="0" w:after="60" w:afterAutospacing="0"/>
        <w:ind w:firstLine="1418"/>
        <w:jc w:val="both"/>
        <w:rPr>
          <w:rFonts w:ascii="Helvetica" w:hAnsi="Helvetica"/>
          <w:sz w:val="22"/>
          <w:szCs w:val="22"/>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65.839, de 30 de junho de 2021 </w:t>
      </w:r>
    </w:p>
    <w:sectPr w:rsidR="000F2652" w:rsidSect="00AD2DB8">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DE"/>
    <w:rsid w:val="000C2DAF"/>
    <w:rsid w:val="000F2652"/>
    <w:rsid w:val="006E408A"/>
    <w:rsid w:val="007A6F17"/>
    <w:rsid w:val="008B4457"/>
    <w:rsid w:val="009E37DE"/>
    <w:rsid w:val="009E6FDF"/>
    <w:rsid w:val="00AD2DB8"/>
    <w:rsid w:val="00DB0A06"/>
    <w:rsid w:val="00ED5712"/>
    <w:rsid w:val="00FC08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49B9"/>
  <w15:chartTrackingRefBased/>
  <w15:docId w15:val="{4AF79CE4-E845-4233-B221-824904A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9E37DE"/>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9E37DE"/>
    <w:rPr>
      <w:rFonts w:ascii="Consolas" w:hAnsi="Consolas" w:cs="Consolas"/>
      <w:sz w:val="21"/>
      <w:szCs w:val="21"/>
    </w:rPr>
  </w:style>
  <w:style w:type="paragraph" w:styleId="NormalWeb">
    <w:name w:val="Normal (Web)"/>
    <w:basedOn w:val="Normal"/>
    <w:uiPriority w:val="99"/>
    <w:semiHidden/>
    <w:unhideWhenUsed/>
    <w:rsid w:val="00ED571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7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628</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Crislayne Gonçalves da Silva</dc:creator>
  <cp:keywords/>
  <dc:description/>
  <cp:lastModifiedBy>Tania Mara de Oliveira</cp:lastModifiedBy>
  <cp:revision>7</cp:revision>
  <dcterms:created xsi:type="dcterms:W3CDTF">2021-06-14T12:22:00Z</dcterms:created>
  <dcterms:modified xsi:type="dcterms:W3CDTF">2021-07-01T14:23:00Z</dcterms:modified>
</cp:coreProperties>
</file>