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293D" w14:textId="77777777" w:rsidR="00C86756" w:rsidRDefault="00055B69">
      <w:pPr>
        <w:spacing w:before="60" w:after="60"/>
        <w:ind w:firstLine="1418"/>
        <w:jc w:val="center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DECRETO Nº 45.087, DE 31 DE JULHO DE 2000</w:t>
      </w:r>
    </w:p>
    <w:p w14:paraId="07D1C329" w14:textId="77777777" w:rsidR="00C86756" w:rsidRDefault="00055B69">
      <w:pPr>
        <w:pStyle w:val="Recuodecorpodetexto"/>
      </w:pPr>
      <w:r>
        <w:t>Reorganiza o Departamento Hidroviário, da Secretaria dos Transportes, e dá providências correlatas</w:t>
      </w:r>
    </w:p>
    <w:p w14:paraId="15389FA3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 xml:space="preserve">MÁRIO COVAS, GOVERNADOR DO ESTADO DE SÃO PAULO, no uso de suas atribuições legais, </w:t>
      </w:r>
    </w:p>
    <w:p w14:paraId="3850FC58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Considerando as atribuições conferidas ao Departamento Hidroviário nos termos do Decreto nº 44.265, de 17 de setembro de 1999, no tocante à Hidrovia Tietê-Paraná; e</w:t>
      </w:r>
    </w:p>
    <w:p w14:paraId="15ED846D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Considerando que atualmente o Departamento Hidroviário não conta com a estrutura adequada ao desempenho de suas novas atribuições para manter a qualidade dos serviços prestados em toda extensão da Hidrovia Tietê-Paraná,</w:t>
      </w:r>
    </w:p>
    <w:p w14:paraId="53FE15E0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Decreta:</w:t>
      </w:r>
    </w:p>
    <w:p w14:paraId="559A08C4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SEÇÃO I</w:t>
      </w:r>
    </w:p>
    <w:p w14:paraId="114F319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Disposição Preliminar</w:t>
      </w:r>
    </w:p>
    <w:p w14:paraId="262EB817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1º - O Departamento Hidroviário, de que trata o inciso III do artigo 3º do Decreto nº 42.817, de 19 de janeiro de 1998, com a nova redação dada pelo inciso I do artigo 2º do Decreto nº 44.265, de 17 de setembro de 1999, fica organizado nos termos deste decreto.</w:t>
      </w:r>
    </w:p>
    <w:p w14:paraId="69590758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SEÇÃO II</w:t>
      </w:r>
    </w:p>
    <w:p w14:paraId="177BB5A1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Das Finalidades</w:t>
      </w:r>
    </w:p>
    <w:p w14:paraId="7FF3A239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2º - O Departamento Hidroviário tem por finalidade:</w:t>
      </w:r>
    </w:p>
    <w:p w14:paraId="40A36283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regular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>, controlar, administrar e fiscalizar as atividades desenvolvidas na Hidrovia Tietê-Paraná no trecho sob domínio do Estado e nos que forem objeto de delegação da União, nos aspectos legais, institucionais e operacionais;</w:t>
      </w:r>
    </w:p>
    <w:p w14:paraId="57071487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strike/>
          <w:color w:val="009900"/>
          <w:sz w:val="22"/>
          <w:szCs w:val="22"/>
        </w:rPr>
      </w:pPr>
      <w:r w:rsidRPr="00413AAE">
        <w:rPr>
          <w:rFonts w:ascii="Helvetica" w:hAnsi="Helvetica" w:cs="Helvetica"/>
          <w:strike/>
          <w:color w:val="009900"/>
          <w:sz w:val="22"/>
          <w:szCs w:val="22"/>
        </w:rPr>
        <w:t xml:space="preserve">II - </w:t>
      </w:r>
      <w:proofErr w:type="gramStart"/>
      <w:r w:rsidRPr="00413AAE">
        <w:rPr>
          <w:rFonts w:ascii="Helvetica" w:hAnsi="Helvetica" w:cs="Helvetica"/>
          <w:strike/>
          <w:color w:val="009900"/>
          <w:sz w:val="22"/>
          <w:szCs w:val="22"/>
        </w:rPr>
        <w:t>regular</w:t>
      </w:r>
      <w:proofErr w:type="gramEnd"/>
      <w:r w:rsidRPr="00413AAE">
        <w:rPr>
          <w:rFonts w:ascii="Helvetica" w:hAnsi="Helvetica" w:cs="Helvetica"/>
          <w:strike/>
          <w:color w:val="009900"/>
          <w:sz w:val="22"/>
          <w:szCs w:val="22"/>
        </w:rPr>
        <w:t>, controlar e fiscalizar as atividades relacionadas à área de operação, manutenção e arrecadação das travessias do litoral e do interior;</w:t>
      </w:r>
    </w:p>
    <w:p w14:paraId="45AB702F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" w:hAnsi="Helv" w:cs="Helv"/>
          <w:color w:val="009900"/>
          <w:sz w:val="20"/>
        </w:rPr>
      </w:pPr>
      <w:r w:rsidRPr="00413AAE">
        <w:rPr>
          <w:rFonts w:ascii="Helvetica" w:hAnsi="Helvetica" w:cs="Helvetica"/>
          <w:color w:val="009900"/>
          <w:szCs w:val="24"/>
        </w:rPr>
        <w:t xml:space="preserve">  </w:t>
      </w:r>
      <w:r w:rsidRPr="00413AAE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 xml:space="preserve"> (*</w:t>
      </w:r>
      <w:proofErr w:type="gramStart"/>
      <w:r w:rsidRPr="00413AAE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)  Nova</w:t>
      </w:r>
      <w:proofErr w:type="gramEnd"/>
      <w:r w:rsidRPr="00413AAE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 xml:space="preserve"> Redação dada pelo Decreto nº 65.262 de 20 de outubro de 2020  (art. 2º)</w:t>
      </w:r>
      <w:r w:rsidRPr="00413AAE">
        <w:rPr>
          <w:rFonts w:ascii="Helv" w:hAnsi="Helv" w:cs="Helv"/>
          <w:color w:val="009900"/>
          <w:sz w:val="20"/>
        </w:rPr>
        <w:t xml:space="preserve"> :</w:t>
      </w:r>
    </w:p>
    <w:p w14:paraId="5CFB9F8D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Cs w:val="24"/>
        </w:rPr>
        <w:t xml:space="preserve">    </w:t>
      </w:r>
      <w:r w:rsidRPr="00413AAE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regular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>, controlar e fiscalizar as atividades relacionadas à área de operação, manutenção e arrecadação das travessias do interior;". (NR)</w:t>
      </w:r>
    </w:p>
    <w:p w14:paraId="3C24D451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III - regular, controlar, supervisionar e fiscalizar os serviços de operação de linhas de transporte executados por terceiros;</w:t>
      </w:r>
    </w:p>
    <w:p w14:paraId="6BF1F712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IV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realizar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ações que promovam a integração com outras Secretarias de Estado;</w:t>
      </w:r>
    </w:p>
    <w:p w14:paraId="3CA070F7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lastRenderedPageBreak/>
        <w:t xml:space="preserve">V - interagir com outros agentes, direta ou indiretamente ligados à Hidrovia ou travessias, tais como: usuários, concessionários, empresas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geradoras  de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energia elétrica e Marinha do Brasil;</w:t>
      </w:r>
    </w:p>
    <w:p w14:paraId="721A7E48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VI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conceber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programas de manutenção e obras para a navegação, segurança e eclusas;</w:t>
      </w:r>
    </w:p>
    <w:p w14:paraId="7D6B8617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VII - realizar ações para garantir recursos, de variadas fontes, necessários à realização dos programas no âmbito do Departamento; </w:t>
      </w:r>
    </w:p>
    <w:p w14:paraId="21041CF7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Cs w:val="24"/>
        </w:rPr>
      </w:pPr>
      <w:r w:rsidRPr="00413AAE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(*) Acrescentado pelo Decreto nº 65.262 de 20 de outubro de 2020 (art.3º</w:t>
      </w:r>
      <w:proofErr w:type="gramStart"/>
      <w:r w:rsidRPr="00413AAE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)</w:t>
      </w:r>
      <w:r w:rsidRPr="00413AAE">
        <w:rPr>
          <w:rFonts w:ascii="Helvetica" w:hAnsi="Helvetica" w:cs="Helvetica"/>
          <w:color w:val="009900"/>
          <w:szCs w:val="24"/>
        </w:rPr>
        <w:t xml:space="preserve"> :</w:t>
      </w:r>
      <w:proofErr w:type="gramEnd"/>
      <w:r w:rsidRPr="00413AAE">
        <w:rPr>
          <w:rFonts w:ascii="Helvetica" w:hAnsi="Helvetica" w:cs="Helvetica"/>
          <w:color w:val="009900"/>
          <w:szCs w:val="24"/>
        </w:rPr>
        <w:t xml:space="preserve"> </w:t>
      </w:r>
    </w:p>
    <w:p w14:paraId="35D7E5E8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Cs w:val="24"/>
        </w:rPr>
      </w:pPr>
      <w:r w:rsidRPr="00413AAE">
        <w:rPr>
          <w:rFonts w:ascii="Helvetica" w:hAnsi="Helvetica" w:cs="Helvetica"/>
          <w:color w:val="009900"/>
          <w:szCs w:val="24"/>
        </w:rPr>
        <w:t>"VIII - administrar os serviços de travessias litorâneas.";</w:t>
      </w:r>
    </w:p>
    <w:p w14:paraId="369BB545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SEÇÃO III</w:t>
      </w:r>
    </w:p>
    <w:p w14:paraId="0E85F68E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Da Estrutura</w:t>
      </w:r>
    </w:p>
    <w:p w14:paraId="44505AEF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3º - O Departamento Hidroviário, unidade com nível de Departamento Técnico, passa a ter seguinte estrutura:</w:t>
      </w:r>
    </w:p>
    <w:p w14:paraId="59BD6940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I - Centro de Controle de Travessias;</w:t>
      </w:r>
    </w:p>
    <w:p w14:paraId="527BA1B4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II - Centro Técnico Operacional, com:</w:t>
      </w:r>
    </w:p>
    <w:p w14:paraId="6BF74DF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a) Núcleo Técnico Regional do Baixo Tietê e Paraná;</w:t>
      </w:r>
    </w:p>
    <w:p w14:paraId="09777CFD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b) Núcleo Técnico Regional do Alto e Médio Tietê;</w:t>
      </w:r>
    </w:p>
    <w:p w14:paraId="4802B17A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III - Centro de Atendimento;</w:t>
      </w:r>
    </w:p>
    <w:p w14:paraId="2A5F7EAC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IV - Centro Administrativo.</w:t>
      </w:r>
    </w:p>
    <w:p w14:paraId="2C8B4ECC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§ 1º - O Departamento Hidroviário conta com Assistência Técnica e os Centros referidos nos incisos I e IV deste artigo contam, cada um, com Célula de Apoio Administrativo.</w:t>
      </w:r>
    </w:p>
    <w:p w14:paraId="775AB86E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§ 2º - A Assistência Técnica e as Células de Apoio Administrativo mencionados no parágrafo anterior não se caracterizam como unidades administrativas.</w:t>
      </w:r>
    </w:p>
    <w:p w14:paraId="6E62495F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SEÇÃO IV</w:t>
      </w:r>
    </w:p>
    <w:p w14:paraId="4BA5B3A1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Das Atribuições</w:t>
      </w:r>
    </w:p>
    <w:p w14:paraId="2EE8F38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SUBSEÇÃO I</w:t>
      </w:r>
    </w:p>
    <w:p w14:paraId="39D3DCFC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Da Assistência Técnica</w:t>
      </w:r>
    </w:p>
    <w:p w14:paraId="0FD17FF3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4º - A Assistência Técnica tem as seguintes atribuições:</w:t>
      </w:r>
    </w:p>
    <w:p w14:paraId="73263CEE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assistir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o dirigente da unidade no desempenho de suas funções;</w:t>
      </w:r>
    </w:p>
    <w:p w14:paraId="1CFC6462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lastRenderedPageBreak/>
        <w:t xml:space="preserve">II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elaborar, acompanhar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e avaliar programas e projetos;</w:t>
      </w:r>
    </w:p>
    <w:p w14:paraId="19A3C910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III - elaborar e implantar sistemas de acompanhamento e controle das atividades desenvolvidas;</w:t>
      </w:r>
    </w:p>
    <w:p w14:paraId="3B652CE6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IV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produzir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informações gerenciais para subsidiar as decisões do dirigente da unidade;</w:t>
      </w:r>
    </w:p>
    <w:p w14:paraId="33785556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V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promover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a integração entre as atividades e os projetos;</w:t>
      </w:r>
    </w:p>
    <w:p w14:paraId="2A6E9FA8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VI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elaborar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normas e manuais de procedimentos, objetivando sua coerência e padronização;</w:t>
      </w:r>
    </w:p>
    <w:p w14:paraId="70EFBA95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VII - controlar e acompanhar as atividades decorrentes de convênios, contratos, acordos e ajustes;</w:t>
      </w:r>
    </w:p>
    <w:p w14:paraId="37D5DC11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VIII - orientar as unidades na elaboração de projetos;</w:t>
      </w:r>
    </w:p>
    <w:p w14:paraId="22684E6C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IX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manter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permanente articulação com as unidades;</w:t>
      </w:r>
    </w:p>
    <w:p w14:paraId="16953B56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X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realizar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estudos, elaborar relatórios e emitir pareceres sobre assuntos relativos às atribuições do Departamento.</w:t>
      </w:r>
    </w:p>
    <w:p w14:paraId="76120B42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SUBSEÇÃO II</w:t>
      </w:r>
    </w:p>
    <w:p w14:paraId="2D46EBF2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Do Centro de Controle de Travessias</w:t>
      </w:r>
    </w:p>
    <w:p w14:paraId="14D67E41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5º - O Centro de Controle de Travessias tem as seguintes atribuições:</w:t>
      </w:r>
    </w:p>
    <w:p w14:paraId="03B64734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em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relação ao controle e à fiscalização:</w:t>
      </w:r>
    </w:p>
    <w:p w14:paraId="02D6433A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a) controlar e fiscalizar as atividades relacionadas à área de operação, manutenção e arrecadação dos serviços de travessias, nas linhas de interligação para transporte de veículos, passageiros e cargas do litoral e interior;</w:t>
      </w:r>
    </w:p>
    <w:p w14:paraId="70DDB76C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b) supervisionar, coordenar e fiscalizar os serviços de operação das linhas executados por terceiros;</w:t>
      </w:r>
    </w:p>
    <w:p w14:paraId="04D2A2A7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em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relação à manutenção:</w:t>
      </w:r>
    </w:p>
    <w:p w14:paraId="1FB680D1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a) verificar as condições de utilização de embarcações, edificações, equipamentos conjuntos, áreas de acesso aos sistemas de atracação e estações de passageiros;</w:t>
      </w:r>
    </w:p>
    <w:p w14:paraId="3778827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b) verificar a aplicação das normas para execução das manutenções rotineiras, preventivas e corretivas e as de melhoria, visando à adequada operacionalização dos sistemas de travessias;</w:t>
      </w:r>
    </w:p>
    <w:p w14:paraId="25327723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III- em relação à arrecadação: supervisionar, coordenar e fiscalizar os sistemas de arrecadação nos postos de pedágio e nas bilheterias;</w:t>
      </w:r>
    </w:p>
    <w:p w14:paraId="1C113403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IV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definir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medidas a serem implementadas para solução dos problemas detectados e acompanhar e avaliar o seu cumprimento.</w:t>
      </w:r>
    </w:p>
    <w:p w14:paraId="5B0516B4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lastRenderedPageBreak/>
        <w:t>SUBSEÇÃO III</w:t>
      </w:r>
    </w:p>
    <w:p w14:paraId="6D44D965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Do Centro Técnico Operacional</w:t>
      </w:r>
    </w:p>
    <w:p w14:paraId="0554E803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6º - O Centro Técnico Operacional tem as seguintes atribuições:</w:t>
      </w:r>
    </w:p>
    <w:p w14:paraId="2555795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fiscalizar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a manutenção das eclusas e da via navegável;</w:t>
      </w:r>
    </w:p>
    <w:p w14:paraId="5B1D6FB9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elaborar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as propostas para o programa de obras de ampliação e melhoria das eclusas e da via navegável; </w:t>
      </w:r>
    </w:p>
    <w:p w14:paraId="1353F9F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III - coordenar todos os demais trabalhos técnicos necessários ao funcionamento adequado da Hidrovia Tietê-Paraná. </w:t>
      </w:r>
    </w:p>
    <w:p w14:paraId="17A9C9A2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(*) Acrescentado pelo Decreto nº 65.262 de 20 de outubro de 2020 (art.3º)</w:t>
      </w:r>
      <w:r w:rsidRPr="00413AAE">
        <w:rPr>
          <w:rFonts w:ascii="Helvetica" w:hAnsi="Helvetica" w:cs="Helvetica"/>
          <w:color w:val="009900"/>
          <w:sz w:val="22"/>
          <w:szCs w:val="22"/>
        </w:rPr>
        <w:t xml:space="preserve">: </w:t>
      </w:r>
    </w:p>
    <w:p w14:paraId="67A90F36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"IV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operar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os serviços de travessias litorâneas, com apoio do Centro de Controle de Travessias."</w:t>
      </w:r>
    </w:p>
    <w:p w14:paraId="5BB96FC5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7º - Os Núcleos Técnicos Regionais do Baixo Tietê e Paraná e do Alto e Médio Tietê, do Centro Técnico Operacional, têm, em suas respectivas áreas de atuação as seguintes atribuições:</w:t>
      </w:r>
    </w:p>
    <w:p w14:paraId="7401BAA5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supervisionar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as condições operacionais gerais; </w:t>
      </w:r>
    </w:p>
    <w:p w14:paraId="0162433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realizar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levantamentos e estudos técnicos para implantação de obras e serviços;</w:t>
      </w:r>
    </w:p>
    <w:p w14:paraId="31B9E881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III - gerenciar contratos de obras e serviços;</w:t>
      </w:r>
    </w:p>
    <w:p w14:paraId="44196DF0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IV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controlar e supervisionar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>, tecnicamente, as obras e serviços realizados por terceiros;</w:t>
      </w:r>
    </w:p>
    <w:p w14:paraId="1E9B63B3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V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preparar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documentação técnica-administrativa para a realização de licitação de obras e serviços;</w:t>
      </w:r>
    </w:p>
    <w:p w14:paraId="4A4C7B2E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VI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realizar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obras e serviços complementares, observada a legislação pertinente.</w:t>
      </w:r>
    </w:p>
    <w:p w14:paraId="731E738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8º - Além das atribuições previstas no artigo 6º, cabe ainda, ao Centro Técnico Operacional coordenar e supervisionar os trabalhos desenvolvidos pelos Núcleos Técnicos Regionais do Baixo Tietê e Paraná e do Alto e Médio Tietê.</w:t>
      </w:r>
    </w:p>
    <w:p w14:paraId="7243818C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SUBSEÇÃO IV</w:t>
      </w:r>
    </w:p>
    <w:p w14:paraId="22CDC0FC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Do Centro de Atendimento</w:t>
      </w:r>
    </w:p>
    <w:p w14:paraId="4A715764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Artigo 9º - O Centro de Atendimento tem as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seguinte atribuições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>:</w:t>
      </w:r>
    </w:p>
    <w:p w14:paraId="79327AF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atender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os usuários e os empreendedores em toda a área de competência do Departamento;</w:t>
      </w:r>
    </w:p>
    <w:p w14:paraId="20A4DF5A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lastRenderedPageBreak/>
        <w:t xml:space="preserve">II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dar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apoio técnico à elaboração de planos originários dos municípios localizados nas áreas de influência da Hidrovia Tietê-Paraná;</w:t>
      </w:r>
    </w:p>
    <w:p w14:paraId="70195662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III - ordenar e encaminhar demandas de usuários e interessados;</w:t>
      </w:r>
    </w:p>
    <w:p w14:paraId="1713F3E0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IV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coletar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informações para subsidiar estudos de multimodalidade realizados pela área de planejamento da Secretaria dos Transportes;</w:t>
      </w:r>
    </w:p>
    <w:p w14:paraId="737F9F08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V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acompanhar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os licenciamentos ambientais necessários para obras de responsabilidade do Departamento.</w:t>
      </w:r>
    </w:p>
    <w:p w14:paraId="0204DAC4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SUBSEÇÃO V</w:t>
      </w:r>
    </w:p>
    <w:p w14:paraId="0F493133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Do Centro Administrativo</w:t>
      </w:r>
    </w:p>
    <w:p w14:paraId="05F13A84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10 - O Centro Administrativo tem as seguintes atribuições:</w:t>
      </w:r>
    </w:p>
    <w:p w14:paraId="125E7AED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em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relação ao Sistema de Administração de Pessoal, exercer as atribuições previstas nos artigos 11, 13 a 16 do Decreto nº 42.815, de 19 de janeiro de 1998;</w:t>
      </w:r>
    </w:p>
    <w:p w14:paraId="4D9E8693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em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relação aos Sistemas de Administração Financeira e Orçamentária, exercer atribuições previstas nos artigos 9º e 10 do Decreto-lei nº 233, de 28 de abril de 1970;</w:t>
      </w:r>
    </w:p>
    <w:p w14:paraId="559DA33F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III- em relação à receita:</w:t>
      </w:r>
    </w:p>
    <w:p w14:paraId="1B8C8CA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a) efetuar recebimentos;</w:t>
      </w:r>
    </w:p>
    <w:p w14:paraId="79FD3B5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b) arrecadar taxas de prestação de serviços a terceiros;</w:t>
      </w:r>
    </w:p>
    <w:p w14:paraId="02DB1DF4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c) proceder ao controle e à classificação da receita;</w:t>
      </w:r>
    </w:p>
    <w:p w14:paraId="2B18D1EA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d) elaborar demonstrativos mensais de arrecadação;</w:t>
      </w:r>
    </w:p>
    <w:p w14:paraId="7239C14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IV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em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relação à administração de material:</w:t>
      </w:r>
    </w:p>
    <w:p w14:paraId="2CB94F6F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a) preparar os expedientes referentes à aquisição ou à prestação de serviços;</w:t>
      </w:r>
    </w:p>
    <w:p w14:paraId="5C293275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b) controlar prazos, condições e documentação relativos aos fornecimentos;</w:t>
      </w:r>
    </w:p>
    <w:p w14:paraId="3381AA3E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c) fixar níveis de estoque mínimo e ponto de pedido de materiais;</w:t>
      </w:r>
    </w:p>
    <w:p w14:paraId="106CCA0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d) receber os materiais e controlar sua distribuição;</w:t>
      </w:r>
    </w:p>
    <w:p w14:paraId="388FC058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e) estimar as despesas e fornecer dados para emissão dos empenhos relativos aos contratos de fornecimento de materiais e serviços;</w:t>
      </w:r>
    </w:p>
    <w:p w14:paraId="7DD2BA38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f) manter atualizados os registros físicos e financeiros dos materiais em estoque;</w:t>
      </w:r>
    </w:p>
    <w:p w14:paraId="183EF6C6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g) realizar balancetes mensais e inventários físico e de valor do material estocado; </w:t>
      </w:r>
    </w:p>
    <w:p w14:paraId="428DCA4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lastRenderedPageBreak/>
        <w:t>h) elaborar levantamento estatístico de consumo anual;</w:t>
      </w:r>
    </w:p>
    <w:p w14:paraId="54967A35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i) orientar a elaboração do Orçamento-Programa do Departamento;</w:t>
      </w:r>
    </w:p>
    <w:p w14:paraId="2BDB30BA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V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em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relação à administração patrimonial:</w:t>
      </w:r>
    </w:p>
    <w:p w14:paraId="12E91183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a) cadastrar e chapear o material permanente e os equipamentos adquiridos;</w:t>
      </w:r>
    </w:p>
    <w:p w14:paraId="12517C13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b) registrar e manter o sistema de arquivo de documentos relativos à movimentação de bens móveis;</w:t>
      </w:r>
    </w:p>
    <w:p w14:paraId="5B11A231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c) providenciar o seguro dos bens móveis e imóveis;</w:t>
      </w:r>
    </w:p>
    <w:p w14:paraId="4E8821F8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d) verificar, periodicamente, o estado dos bens móveis e imóveis e equipamentos, solicitando, quando for o caso, providências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para  sua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manutenção ou baixa patrimonial;</w:t>
      </w:r>
    </w:p>
    <w:p w14:paraId="578BFDB6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e) arrolar os bens incorporados ao patrimônio do Departamento Hidroviário e os que lhe forem adjudicados;</w:t>
      </w:r>
    </w:p>
    <w:p w14:paraId="3091080F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f) providenciar o arrolamento de bens inservíveis, observando a legislação pertinente;</w:t>
      </w:r>
    </w:p>
    <w:p w14:paraId="46EEF23A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VI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em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relação às comunicações administrativas:</w:t>
      </w:r>
    </w:p>
    <w:p w14:paraId="57CF7F8C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a) receber, registrar, distribuir, expedir e arquivar papéis e processos;</w:t>
      </w:r>
    </w:p>
    <w:p w14:paraId="4E5D0DF4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b) prestar informações sobre papéis e processos;</w:t>
      </w:r>
    </w:p>
    <w:p w14:paraId="62ED194A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c) elaborar a correspondência e executar serviços de editoração;</w:t>
      </w:r>
    </w:p>
    <w:p w14:paraId="3CF008F2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d) executar e conferir serviços de datilografia e digitação;</w:t>
      </w:r>
    </w:p>
    <w:p w14:paraId="5F93F651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VII - em relação às atividades complementares:</w:t>
      </w:r>
    </w:p>
    <w:p w14:paraId="4A5D696D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a) promover as atividades relativas à segurança e limpeza das áreas do Departamento Hidroviário;</w:t>
      </w:r>
    </w:p>
    <w:p w14:paraId="7CA258EE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b) efetuar serviços de conservação e manutenção dos equipamentos e instalações;</w:t>
      </w:r>
    </w:p>
    <w:p w14:paraId="7B3A9699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VIII - em relação ao Sistema de Administração dos Transportes Internos Motorizados, executar o previsto nos artigos 7º, 8º e 9º do Decreto nº 9.543, de 1º de março de 1977;</w:t>
      </w:r>
    </w:p>
    <w:p w14:paraId="11B05A67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Parágrafo único - O Centro Administrativo de que trata este artigo é órgão:</w:t>
      </w:r>
    </w:p>
    <w:p w14:paraId="3588EDC5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1. </w:t>
      </w:r>
      <w:proofErr w:type="spellStart"/>
      <w:r w:rsidRPr="00413AAE">
        <w:rPr>
          <w:rFonts w:ascii="Helvetica" w:hAnsi="Helvetica" w:cs="Helvetica"/>
          <w:color w:val="009900"/>
          <w:sz w:val="22"/>
          <w:szCs w:val="22"/>
        </w:rPr>
        <w:t>subsetorial</w:t>
      </w:r>
      <w:proofErr w:type="spell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do Sistema de Administração de Pessoal;</w:t>
      </w:r>
    </w:p>
    <w:p w14:paraId="61167BED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2. setorial dos Sistemas de Administração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Financeira  e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Orçamentária;</w:t>
      </w:r>
    </w:p>
    <w:p w14:paraId="369D1960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lastRenderedPageBreak/>
        <w:t>3. setorial do Sistema de Administração dos Transportes Internos Motorizados.</w:t>
      </w:r>
    </w:p>
    <w:p w14:paraId="43E34F64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SUBSEÇÃO VI</w:t>
      </w:r>
    </w:p>
    <w:p w14:paraId="02698F2A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Das Células de Apoio Administrativo</w:t>
      </w:r>
    </w:p>
    <w:p w14:paraId="26A5FDF3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11 - As Células de Apoio Administrativo têm as seguintes atribuições:</w:t>
      </w:r>
    </w:p>
    <w:p w14:paraId="490C15E4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receber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>, registrar, distribuir e expedir papéis e processos;</w:t>
      </w:r>
    </w:p>
    <w:p w14:paraId="6FB0A8A9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preparar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o expediente das respectivas unidades;</w:t>
      </w:r>
    </w:p>
    <w:p w14:paraId="67435D9E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III - manter registros sobre a </w:t>
      </w:r>
      <w:proofErr w:type="spellStart"/>
      <w:r w:rsidRPr="00413AAE">
        <w:rPr>
          <w:rFonts w:ascii="Helvetica" w:hAnsi="Helvetica" w:cs="Helvetica"/>
          <w:color w:val="009900"/>
          <w:sz w:val="22"/>
          <w:szCs w:val="22"/>
        </w:rPr>
        <w:t>freqüência</w:t>
      </w:r>
      <w:proofErr w:type="spell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e as férias dos servidores;</w:t>
      </w:r>
    </w:p>
    <w:p w14:paraId="1E6B6AEA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IV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prever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>, registrar e guardar o material de consumo das unidades;</w:t>
      </w:r>
    </w:p>
    <w:p w14:paraId="19F157C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V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manter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registro do material permanente e comunicar à unidade competente a sua movimentação;</w:t>
      </w:r>
    </w:p>
    <w:p w14:paraId="5AC1D6D8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VI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desenvolver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outras atividades características de apoio administrativo à atuação da unidade.</w:t>
      </w:r>
    </w:p>
    <w:p w14:paraId="595BFCFA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SEÇÃO V</w:t>
      </w:r>
    </w:p>
    <w:p w14:paraId="3904DADD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Das Competências</w:t>
      </w:r>
    </w:p>
    <w:p w14:paraId="0A4D142C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SUBSEÇÃO I</w:t>
      </w:r>
    </w:p>
    <w:p w14:paraId="4A0BA530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Das Competências Gerais</w:t>
      </w:r>
    </w:p>
    <w:p w14:paraId="3BCD0E09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12 - O Diretor do Departamento Hidroviário, além de outras que lhe forem conferidas por lei ou decreto, tem as seguintes competências:</w:t>
      </w:r>
    </w:p>
    <w:p w14:paraId="44A042D1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em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relação às atividades gerais:</w:t>
      </w:r>
    </w:p>
    <w:p w14:paraId="533013B5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a) assessorar o Titular da Pasta, no âmbito de suas atribuições;</w:t>
      </w:r>
    </w:p>
    <w:p w14:paraId="7670E10A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b) propor ao Secretário o programa de trabalho e as alterações que se fizerem necessárias;</w:t>
      </w:r>
    </w:p>
    <w:p w14:paraId="6376381D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c) zelar pelo cumprimento de prazos fixados para o desenvolvimento dos trabalhos;</w:t>
      </w:r>
    </w:p>
    <w:p w14:paraId="49539790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d) responder, conclusivamente, às consultas formuladas pelos Órgãos da Administração Pública sobre assuntos de sua competência;</w:t>
      </w:r>
    </w:p>
    <w:p w14:paraId="26EA3FCA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e) solicitar informações a Órgãos da Administração Pública;</w:t>
      </w:r>
    </w:p>
    <w:p w14:paraId="039DDF02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f) decidir sobre pedido de "vistas" de processos;</w:t>
      </w:r>
    </w:p>
    <w:p w14:paraId="5A811329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g) criar comissões não permanentes e grupos de trabalho; </w:t>
      </w:r>
    </w:p>
    <w:p w14:paraId="24C8F805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lastRenderedPageBreak/>
        <w:t>h) autorizar estágios em unidades subordinadas;</w:t>
      </w:r>
    </w:p>
    <w:p w14:paraId="4CDF8F6A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em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relação à administração de material e patrimônio:</w:t>
      </w:r>
    </w:p>
    <w:p w14:paraId="378DA6CE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a) assinar convites e editais de tomada de preços e de concorrência;</w:t>
      </w:r>
    </w:p>
    <w:p w14:paraId="504509BF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b) as previstas nos artigos 1º e 2º do Decreto nº 31.138, de 9 de janeiro de 1990, alterados pelo Decreto nº 33.701, de 22 de agosto de 1991, quanto a qualquer modalidade de licitação;</w:t>
      </w:r>
    </w:p>
    <w:p w14:paraId="0393C739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c) autorizar a transferência de bens móveis;</w:t>
      </w:r>
    </w:p>
    <w:p w14:paraId="574E7939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d) decidir sobre utilização de próprios do Estado no âmbito da unidade;</w:t>
      </w:r>
    </w:p>
    <w:p w14:paraId="788D5D4A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e) autorizar, por ato específico, as autoridades que lhe são subordinadas a requisitar transporte de material por conta do Estado.</w:t>
      </w:r>
    </w:p>
    <w:p w14:paraId="6240DB10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13 - Os Diretores do Centro Técnico Operacional e do Centro Administrativo, em relação à administração de material e patrimônio, têm as seguintes competências:</w:t>
      </w:r>
    </w:p>
    <w:p w14:paraId="6D20E654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assinar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convites e editais de tomada de preços;</w:t>
      </w:r>
    </w:p>
    <w:p w14:paraId="2231057A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as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previstas nos artigos 1º e 2º do Decreto nº 31.138, de 9 de janeiro de 1990, alterados pelo Decreto nº 33.701, de 22 de agosto de 1991, exceto quanto a licitação na modalidade de concorrência.</w:t>
      </w:r>
    </w:p>
    <w:p w14:paraId="4DABCE98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SUBSEÇÃO II</w:t>
      </w:r>
    </w:p>
    <w:p w14:paraId="53217CAD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Das Competências Comuns</w:t>
      </w:r>
    </w:p>
    <w:p w14:paraId="46B8E26C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14 - O Diretor do Departamento Hidroviário e demais responsáveis por unidades até o nível de Diretor Técnico de Serviço, além de outras que lhes forem conferidas por lei ou decreto, têm as seguintes competências:</w:t>
      </w:r>
    </w:p>
    <w:p w14:paraId="3DD32074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encaminhar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à autoridade superior o programa de trabalho e as alterações que se fizerem necessárias;</w:t>
      </w:r>
    </w:p>
    <w:p w14:paraId="6790C619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determinar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o arquivamento de processos e papéis em que inexistam providências a tomar ou cujos pedidos careçam de fundamento legal;</w:t>
      </w:r>
    </w:p>
    <w:p w14:paraId="380CA39F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III - decidir sobre recursos interpostos contra despacho de autoridade imediatamente subordinada, desde que não esteja esgotada a instância administrativa;</w:t>
      </w:r>
    </w:p>
    <w:p w14:paraId="57EDCBE0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IV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em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relação à administração de material e patrimônio:</w:t>
      </w:r>
    </w:p>
    <w:p w14:paraId="58B3244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a) autorizar a transferência de bens móveis entre as unidades subordinadas;</w:t>
      </w:r>
    </w:p>
    <w:p w14:paraId="6B843BDE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b) requisitar materiais permanentes ou de consumo;</w:t>
      </w:r>
    </w:p>
    <w:p w14:paraId="4AF99FB2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V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cumprir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e fazer cumprir as leis, os decretos, os regulamentos, as decisões, os prazos para desenvolvimento dos trabalhos e as ordens das autoridades superiores;</w:t>
      </w:r>
    </w:p>
    <w:p w14:paraId="657046CE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lastRenderedPageBreak/>
        <w:t xml:space="preserve">VI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transmitir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a seus subordinados as diretrizes a serem adotadas no desenvolvimento dos trabalhos;</w:t>
      </w:r>
    </w:p>
    <w:p w14:paraId="1F593031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VII - dirimir ou providenciar a solução de dúvidas ou divergências que surgirem em matéria de serviço;</w:t>
      </w:r>
    </w:p>
    <w:p w14:paraId="3B9A9C19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VIII - dar ciência imediata ao superior hierárquico das irregularidades administrativas de maior gravidade, mencionando as providências tomadas e propondo as que não lhes são afetas;</w:t>
      </w:r>
    </w:p>
    <w:p w14:paraId="35632BD2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IX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manter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seus superiores imediatos permanentemente informados sobre o andamento das atividades;</w:t>
      </w:r>
    </w:p>
    <w:p w14:paraId="3894EEB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X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avaliar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o desempenho dos subordinados e responder pelos resultados alcançados, bem como pela adequação dos custos dos trabalhos executados;</w:t>
      </w:r>
    </w:p>
    <w:p w14:paraId="449754CC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XI - adotar ou sugerir medidas objetivando:</w:t>
      </w:r>
    </w:p>
    <w:p w14:paraId="7C9D0048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a) o aprimoramento de suas áreas;</w:t>
      </w:r>
    </w:p>
    <w:p w14:paraId="2E20B2C2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b) a simplificação de procedimentos e a agilização do processo decisório relativamente a assuntos que tramitem pela unidade;</w:t>
      </w:r>
    </w:p>
    <w:p w14:paraId="377685D5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XII - manter a regularidade dos serviços, expedindo as necessárias determinações ou representando às autoridades superiores;</w:t>
      </w:r>
    </w:p>
    <w:p w14:paraId="58F90F8C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XIII - manter ambiente propício ao desenvolvimento dos trabalhos;</w:t>
      </w:r>
    </w:p>
    <w:p w14:paraId="65D65F86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XIV - providenciar a instrução de processos e expedientes que devam ser submetidos à consideração superior;</w:t>
      </w:r>
    </w:p>
    <w:p w14:paraId="6C1B8692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XV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indicar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seus substitutos, obedecidos os requisitos de qualificação inerentes ao cargo, função-atividade ou função de serviço público;</w:t>
      </w:r>
    </w:p>
    <w:p w14:paraId="770688A5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XVI - encaminhar papéis à unidade competente, para autuar e protocolar;</w:t>
      </w:r>
    </w:p>
    <w:p w14:paraId="50B51AA6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XVII - apresentar relatórios sobre os serviços executados pelos subordinados;</w:t>
      </w:r>
    </w:p>
    <w:p w14:paraId="4ECC441F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XVIII - praticar todo e qualquer ato ou exercer quaisquer das atribuições ou competências dos órgãos subordinados;</w:t>
      </w:r>
    </w:p>
    <w:p w14:paraId="0D5E2FB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XIX - avocar, de modo global ou em casos especiais, as atribuições ou competências dos órgãos subordinados;</w:t>
      </w:r>
    </w:p>
    <w:p w14:paraId="7159E3EF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SUBSEÇÃO III</w:t>
      </w:r>
    </w:p>
    <w:p w14:paraId="208A4136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Das Competências Específicas</w:t>
      </w:r>
    </w:p>
    <w:p w14:paraId="72F471FB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15 - Ao Diretor de Departamento Hidroviário, além das competências previstas nos artigos 12 e 14, compete, ainda:</w:t>
      </w:r>
    </w:p>
    <w:p w14:paraId="26C5A152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lastRenderedPageBreak/>
        <w:t xml:space="preserve">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intermediar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junto às empresas geradoras de energia elétrica, agências reguladoras e outros órgãos estaduais ou federais, ações técnicas que visem à manutenção do nível dos reservatórios dentro de limites que atendam à navegação;</w:t>
      </w:r>
    </w:p>
    <w:p w14:paraId="06CA9970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fiscalizar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obras hidroviárias que, por força de editais de privatização, sejam de responsabilidade das empresas geradoras de energia, bem como expedir informações técnicas a outras instâncias do governo.</w:t>
      </w:r>
    </w:p>
    <w:p w14:paraId="256D1E94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SUBSEÇÃO IV</w:t>
      </w:r>
    </w:p>
    <w:p w14:paraId="663AD2C7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Das Competências Relativas aos Sistemas de Administração Geral</w:t>
      </w:r>
    </w:p>
    <w:p w14:paraId="79B51347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16 - As competências relativas ao Sistema de Administração de Pessoal, a que alude o Decreto nº 42.815, de 19 de janeiro de 1998, serão exercidas na seguinte conformidade:</w:t>
      </w:r>
    </w:p>
    <w:p w14:paraId="32B175B7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pelo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Diretor do Departamento Hidroviário, as previstas nos artigos 27, 29, 34 e 35;</w:t>
      </w:r>
    </w:p>
    <w:p w14:paraId="5CFDCF1C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pelos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Diretores Técnicos de Divisão, de Serviço e Diretores de Divisão, as previstas nos artigos 30, 34 e 35;</w:t>
      </w:r>
    </w:p>
    <w:p w14:paraId="0FFF5904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III - pelo Diretor do Centro Administrativo, as previstas no artigo 33.</w:t>
      </w:r>
    </w:p>
    <w:p w14:paraId="52069AE3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17 - As competências relativas aos Sistemas de Administração Financeira e Orçamentária, a que alude o Decreto-lei nº 233, de 28 de abril de 1970, serão exercidas na seguinte conformidade:</w:t>
      </w:r>
    </w:p>
    <w:p w14:paraId="6270C54A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pelo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Diretor do Departamento Hidroviário, enquanto dirigente de unidade orçamentária, as previstas no artigo 13;</w:t>
      </w:r>
    </w:p>
    <w:p w14:paraId="1B4D8505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pelos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Diretores do Centro Técnico Operacional e do Centro Administrativo, as previstas no artigo 14.</w:t>
      </w:r>
    </w:p>
    <w:p w14:paraId="07F4E231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18 - As competências relativas ao Sistema de Administração dos Transportes Internos Motorizados a que alude o Decreto nº 9.543, de 1º de março de 1977, serão exercidas na seguinte conformidade:</w:t>
      </w:r>
    </w:p>
    <w:p w14:paraId="58962F51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pelo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Diretor do Departamento Hidroviário, enquanto dirigente de frota, as previstas no artigo 16;</w:t>
      </w:r>
    </w:p>
    <w:p w14:paraId="14A21523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pelos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Diretores do Centro Técnico Operacional e do Centro Administrativo, enquanto dirigentes de </w:t>
      </w:r>
      <w:proofErr w:type="spellStart"/>
      <w:r w:rsidRPr="00413AAE">
        <w:rPr>
          <w:rFonts w:ascii="Helvetica" w:hAnsi="Helvetica" w:cs="Helvetica"/>
          <w:color w:val="009900"/>
          <w:sz w:val="22"/>
          <w:szCs w:val="22"/>
        </w:rPr>
        <w:t>subfrota</w:t>
      </w:r>
      <w:proofErr w:type="spellEnd"/>
      <w:r w:rsidRPr="00413AAE">
        <w:rPr>
          <w:rFonts w:ascii="Helvetica" w:hAnsi="Helvetica" w:cs="Helvetica"/>
          <w:color w:val="009900"/>
          <w:sz w:val="22"/>
          <w:szCs w:val="22"/>
        </w:rPr>
        <w:t>, as previstas nos artigos 18 e 20;</w:t>
      </w:r>
    </w:p>
    <w:p w14:paraId="2911A9F8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III - pelos Diretores do Centro de Controle de Travessia, do Núcleo Técnico Regional do Baixo Tietê e Paraná, do Núcleo Técnico Regional do Alto e Médio Tietê e do Centro de Atendimento, enquanto dirigentes de órgãos detentores, as previstas no artigo 20.</w:t>
      </w:r>
    </w:p>
    <w:p w14:paraId="25B26929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SEÇÃO VI</w:t>
      </w:r>
    </w:p>
    <w:p w14:paraId="48790A1C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Dos Níveis Hierárquicos</w:t>
      </w:r>
    </w:p>
    <w:p w14:paraId="6685A132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lastRenderedPageBreak/>
        <w:t>Artigo 19 - As unidades do Departamento Hidroviário têm os seguintes níveis hierárquicos:</w:t>
      </w:r>
    </w:p>
    <w:p w14:paraId="2F85F0E1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de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Divisão Técnica:</w:t>
      </w:r>
    </w:p>
    <w:p w14:paraId="4076A8ED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a) o Centro Técnico Operacional;</w:t>
      </w:r>
    </w:p>
    <w:p w14:paraId="233B66FD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b) o Centro de Atendimento;</w:t>
      </w:r>
    </w:p>
    <w:p w14:paraId="38EAB80D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413AAE">
        <w:rPr>
          <w:rFonts w:ascii="Helvetica" w:hAnsi="Helvetica" w:cs="Helvetica"/>
          <w:color w:val="009900"/>
          <w:sz w:val="22"/>
          <w:szCs w:val="22"/>
        </w:rPr>
        <w:t>de</w:t>
      </w:r>
      <w:proofErr w:type="gramEnd"/>
      <w:r w:rsidRPr="00413AAE">
        <w:rPr>
          <w:rFonts w:ascii="Helvetica" w:hAnsi="Helvetica" w:cs="Helvetica"/>
          <w:color w:val="009900"/>
          <w:sz w:val="22"/>
          <w:szCs w:val="22"/>
        </w:rPr>
        <w:t xml:space="preserve"> Serviço Técnico:</w:t>
      </w:r>
    </w:p>
    <w:p w14:paraId="1FA390C8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a) o Núcleo Técnico Regional do Baixo Tietê e Paraná;</w:t>
      </w:r>
    </w:p>
    <w:p w14:paraId="60F61C20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b) o Núcleo Técnico Regional do Alto e Médio Tietê;</w:t>
      </w:r>
    </w:p>
    <w:p w14:paraId="5CA1DECD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III - de Divisão:</w:t>
      </w:r>
    </w:p>
    <w:p w14:paraId="48ED3CE2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a) o Centro de Controle de Travessias;</w:t>
      </w:r>
    </w:p>
    <w:p w14:paraId="50457ED8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b) o Centro Administrativo.</w:t>
      </w:r>
    </w:p>
    <w:p w14:paraId="15200F05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SEÇÃO VII</w:t>
      </w:r>
    </w:p>
    <w:p w14:paraId="09ECF189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Disposições Gerais e Finais</w:t>
      </w:r>
    </w:p>
    <w:p w14:paraId="61FAC984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20 - As atribuições das unidades e as competências das autoridades de que trata este decreto poderão ser detalhadas mediante resolução do Secretário dos Transportes.</w:t>
      </w:r>
    </w:p>
    <w:p w14:paraId="6D11C85C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21 - As competências previstas neste decreto, sempre que coincidentes, serão exercidas, de preferência, pelas autoridades de menor nível hierárquico.</w:t>
      </w:r>
    </w:p>
    <w:p w14:paraId="5E40517A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Artigo 22 - Este decreto entra em vigor na data de sua publicação, ficando revogadas as disposições em contrário, em especial, os artigos 9º e 29 do Decreto nº 42.817, de 19 de janeiro de 1998, e os incisos II, III e IV do artigo 2º do Decreto nº 44.265, de 17 de setembro de 1999.</w:t>
      </w:r>
    </w:p>
    <w:p w14:paraId="6482B06D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Palácio dos Bandeirantes, 31 de julho de 2000</w:t>
      </w:r>
    </w:p>
    <w:p w14:paraId="04B73026" w14:textId="77777777" w:rsidR="00055B69" w:rsidRPr="00413AAE" w:rsidRDefault="00055B69" w:rsidP="00055B69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13AAE">
        <w:rPr>
          <w:rFonts w:ascii="Helvetica" w:hAnsi="Helvetica" w:cs="Helvetica"/>
          <w:color w:val="009900"/>
          <w:sz w:val="22"/>
          <w:szCs w:val="22"/>
        </w:rPr>
        <w:t>MÁRIO COVAS</w:t>
      </w:r>
    </w:p>
    <w:p w14:paraId="02BEE086" w14:textId="77777777" w:rsidR="00055B69" w:rsidRPr="00413AAE" w:rsidRDefault="00055B69">
      <w:pPr>
        <w:spacing w:before="60" w:after="60"/>
        <w:jc w:val="center"/>
        <w:rPr>
          <w:rFonts w:ascii="Helvetica" w:hAnsi="Helvetica"/>
          <w:color w:val="009900"/>
          <w:sz w:val="22"/>
        </w:rPr>
      </w:pPr>
    </w:p>
    <w:p w14:paraId="6FB8296D" w14:textId="77777777" w:rsidR="00C86756" w:rsidRPr="00413AAE" w:rsidRDefault="00055B69">
      <w:pPr>
        <w:spacing w:before="60" w:after="60"/>
        <w:jc w:val="center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SUMÁRIO</w:t>
      </w:r>
    </w:p>
    <w:p w14:paraId="071A3603" w14:textId="77777777" w:rsidR="00C86756" w:rsidRPr="00413AAE" w:rsidRDefault="00055B69">
      <w:pPr>
        <w:spacing w:before="60" w:after="60"/>
        <w:jc w:val="center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DEPARTAMENTO HIDROVIÁRIO</w:t>
      </w:r>
    </w:p>
    <w:p w14:paraId="1396BB6D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SEÇÃO I</w:t>
      </w:r>
    </w:p>
    <w:p w14:paraId="18A11021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Disposição Preliminar</w:t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  <w:t>1º</w:t>
      </w:r>
    </w:p>
    <w:p w14:paraId="75F4790F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SEÇÃO II</w:t>
      </w:r>
    </w:p>
    <w:p w14:paraId="3ED521B2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Das Finalidades</w:t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  <w:t>2º</w:t>
      </w:r>
    </w:p>
    <w:p w14:paraId="117A7D36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SEÇÃO III</w:t>
      </w:r>
    </w:p>
    <w:p w14:paraId="23224867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lastRenderedPageBreak/>
        <w:t>Da Estrutura</w:t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  <w:t>3º</w:t>
      </w:r>
    </w:p>
    <w:p w14:paraId="75404B57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SEÇÃO IV</w:t>
      </w:r>
    </w:p>
    <w:p w14:paraId="3E974416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Das Atribuições</w:t>
      </w:r>
    </w:p>
    <w:p w14:paraId="4C1BE705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SUBSEÇÃO I</w:t>
      </w:r>
    </w:p>
    <w:p w14:paraId="657A7B4A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Da Assistência Técnica</w:t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  <w:t>4º</w:t>
      </w:r>
    </w:p>
    <w:p w14:paraId="26D8A2DF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SUBSEÇÃO II</w:t>
      </w:r>
    </w:p>
    <w:p w14:paraId="5FED0872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Do Centro de Controle de Travessias</w:t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  <w:t>5º</w:t>
      </w:r>
    </w:p>
    <w:p w14:paraId="2369E98A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SUBSEÇÃO III</w:t>
      </w:r>
    </w:p>
    <w:p w14:paraId="31310ABB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Do Centro Técnico Operacional</w:t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  <w:t>6º a 8º</w:t>
      </w:r>
    </w:p>
    <w:p w14:paraId="4175793B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SUBSEÇÃO IV</w:t>
      </w:r>
    </w:p>
    <w:p w14:paraId="52B8A958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Do Centro de Atendimento</w:t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  <w:t>9º</w:t>
      </w:r>
    </w:p>
    <w:p w14:paraId="114577CD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SUBSEÇÃO V</w:t>
      </w:r>
    </w:p>
    <w:p w14:paraId="3111BD5A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Do Centro Administrativo</w:t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  <w:t>10</w:t>
      </w:r>
    </w:p>
    <w:p w14:paraId="109A0349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SUBSEÇÃO VI</w:t>
      </w:r>
    </w:p>
    <w:p w14:paraId="7F7CB5F9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Das Células de Apoio Administrativo</w:t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  <w:t>11</w:t>
      </w:r>
    </w:p>
    <w:p w14:paraId="6E5E02F9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SEÇÃO V</w:t>
      </w:r>
    </w:p>
    <w:p w14:paraId="27A4EB7E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Das Competências</w:t>
      </w:r>
    </w:p>
    <w:p w14:paraId="7CEAFCF0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SUBSEÇÃO I</w:t>
      </w:r>
    </w:p>
    <w:p w14:paraId="5DF67DEB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Das Competências Gerais</w:t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  <w:t>12 e 13</w:t>
      </w:r>
    </w:p>
    <w:p w14:paraId="54498E97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SUBSEÇÃO II</w:t>
      </w:r>
    </w:p>
    <w:p w14:paraId="24F0181D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Das Competências Comuns</w:t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  <w:t>14</w:t>
      </w:r>
    </w:p>
    <w:p w14:paraId="29D9E189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SUBSEÇÃO III</w:t>
      </w:r>
    </w:p>
    <w:p w14:paraId="26AE05CF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Das Competências Específicas</w:t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  <w:t>15</w:t>
      </w:r>
    </w:p>
    <w:p w14:paraId="7D21A326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SUBSEÇÃO IV</w:t>
      </w:r>
    </w:p>
    <w:p w14:paraId="0E7CD78D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Das Competências Relativas aos Sistemas de</w:t>
      </w:r>
    </w:p>
    <w:p w14:paraId="666601AE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Administração Geral</w:t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  <w:t>16 a 18</w:t>
      </w:r>
    </w:p>
    <w:p w14:paraId="725B58A9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SEÇÃO VI</w:t>
      </w:r>
    </w:p>
    <w:p w14:paraId="35652D2D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Dos Níveis Hierárquicos</w:t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  <w:t>19</w:t>
      </w:r>
    </w:p>
    <w:p w14:paraId="0582F2D7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SEÇÃO VII</w:t>
      </w:r>
    </w:p>
    <w:p w14:paraId="0BAACD45" w14:textId="77777777" w:rsidR="00C86756" w:rsidRPr="00413AAE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Disposições Gerais e Finais</w:t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</w:r>
      <w:r w:rsidRPr="00413AAE">
        <w:rPr>
          <w:rFonts w:ascii="Helvetica" w:hAnsi="Helvetica"/>
          <w:color w:val="009900"/>
          <w:sz w:val="22"/>
        </w:rPr>
        <w:tab/>
        <w:t>20 a 22</w:t>
      </w:r>
    </w:p>
    <w:p w14:paraId="32917528" w14:textId="77777777" w:rsidR="00C86756" w:rsidRDefault="00055B69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</w:rPr>
      </w:pPr>
      <w:r w:rsidRPr="00413AAE">
        <w:rPr>
          <w:rFonts w:ascii="Helvetica" w:hAnsi="Helvetica"/>
          <w:color w:val="009900"/>
          <w:sz w:val="22"/>
        </w:rPr>
        <w:t>ENTRA ORGANOGRAMA, QUE ESTÁ NA IMESP</w:t>
      </w:r>
    </w:p>
    <w:p w14:paraId="5EF3828A" w14:textId="55EFB3C6" w:rsidR="00413AAE" w:rsidRPr="00413AAE" w:rsidRDefault="00413AAE">
      <w:pPr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13AAE">
        <w:rPr>
          <w:rFonts w:ascii="Helvetica" w:hAnsi="Helvetica" w:cs="Helvetica"/>
          <w:b/>
          <w:bCs/>
          <w:i/>
          <w:iCs/>
          <w:sz w:val="22"/>
          <w:szCs w:val="22"/>
        </w:rPr>
        <w:t>(*) Revogado pelo Decreto n</w:t>
      </w:r>
      <w:r w:rsidRPr="00413AAE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413AAE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69.376, de 26 de fevereiro de 2025 </w:t>
      </w:r>
    </w:p>
    <w:sectPr w:rsidR="00413AAE" w:rsidRPr="00413AAE">
      <w:pgSz w:w="11907" w:h="16840" w:code="9"/>
      <w:pgMar w:top="1928" w:right="1701" w:bottom="146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9"/>
    <w:rsid w:val="00055B69"/>
    <w:rsid w:val="00413AAE"/>
    <w:rsid w:val="00C86756"/>
    <w:rsid w:val="00D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E3E61"/>
  <w15:chartTrackingRefBased/>
  <w15:docId w15:val="{562DE36F-311C-4FBC-85A6-DFC36112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spacing w:before="60" w:after="60"/>
      <w:ind w:left="3686"/>
      <w:jc w:val="both"/>
    </w:pPr>
    <w:rPr>
      <w:rFonts w:ascii="Helvetica" w:hAnsi="Helvetica"/>
      <w:sz w:val="22"/>
    </w:rPr>
  </w:style>
  <w:style w:type="character" w:styleId="Hyperlink">
    <w:name w:val="Hyperlink"/>
    <w:basedOn w:val="Fontepargpadro"/>
    <w:uiPriority w:val="99"/>
    <w:unhideWhenUsed/>
    <w:rsid w:val="00413A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3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3045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45</vt:lpstr>
    </vt:vector>
  </TitlesOfParts>
  <Company>PRODESP</Company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45</dc:title>
  <dc:subject/>
  <dc:creator>PRODESP</dc:creator>
  <cp:keywords/>
  <dc:description/>
  <cp:lastModifiedBy>Tania Mara de Oliveira</cp:lastModifiedBy>
  <cp:revision>3</cp:revision>
  <dcterms:created xsi:type="dcterms:W3CDTF">2020-10-21T14:48:00Z</dcterms:created>
  <dcterms:modified xsi:type="dcterms:W3CDTF">2025-02-27T14:38:00Z</dcterms:modified>
</cp:coreProperties>
</file>