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23E1" w14:textId="77777777" w:rsidR="001E6ABC" w:rsidRPr="001E6ABC" w:rsidRDefault="001E6ABC" w:rsidP="001E6ABC">
      <w:pPr>
        <w:spacing w:before="60" w:after="60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1E6ABC">
        <w:rPr>
          <w:rFonts w:ascii="Helvetica" w:hAnsi="Helvetica"/>
          <w:b/>
          <w:bCs/>
          <w:sz w:val="22"/>
          <w:szCs w:val="22"/>
        </w:rPr>
        <w:t>DECRETO Nº 70.332, DE 7 DE JANEIRO DE 2026</w:t>
      </w:r>
    </w:p>
    <w:p w14:paraId="5CD83671" w14:textId="77777777" w:rsidR="001E6ABC" w:rsidRPr="001E6ABC" w:rsidRDefault="001E6ABC" w:rsidP="001E6ABC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E6ABC">
        <w:rPr>
          <w:rFonts w:ascii="Helvetica" w:hAnsi="Helvetica"/>
          <w:sz w:val="22"/>
          <w:szCs w:val="22"/>
        </w:rPr>
        <w:t>Altera o Decreto nº 69.182, de 18 de dezembro de 2024, que aprova a Estrutura Organizacional e o Quadro Demonstrativo dos Cargos em Comissão e das Funções de Confiança da Secretaria da Fazenda e Planejamento.</w:t>
      </w:r>
    </w:p>
    <w:p w14:paraId="6DAD86BB" w14:textId="77777777" w:rsidR="001E6ABC" w:rsidRPr="001E6ABC" w:rsidRDefault="001E6ABC" w:rsidP="001E6ABC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E6ABC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1E6ABC">
        <w:rPr>
          <w:rFonts w:ascii="Helvetica" w:hAnsi="Helvetica"/>
          <w:sz w:val="22"/>
          <w:szCs w:val="22"/>
        </w:rPr>
        <w:t>, no uso de suas atribuições legais,</w:t>
      </w:r>
    </w:p>
    <w:p w14:paraId="3516B38A" w14:textId="77777777" w:rsidR="001E6ABC" w:rsidRPr="001E6ABC" w:rsidRDefault="001E6ABC" w:rsidP="001E6ABC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E6ABC">
        <w:rPr>
          <w:rFonts w:ascii="Helvetica" w:hAnsi="Helvetica"/>
          <w:b/>
          <w:bCs/>
          <w:sz w:val="22"/>
          <w:szCs w:val="22"/>
        </w:rPr>
        <w:t>Decreta:</w:t>
      </w:r>
    </w:p>
    <w:p w14:paraId="42F2757F" w14:textId="77777777" w:rsidR="001E6ABC" w:rsidRPr="001E6ABC" w:rsidRDefault="001E6ABC" w:rsidP="001E6ABC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E6ABC">
        <w:rPr>
          <w:rFonts w:ascii="Helvetica" w:hAnsi="Helvetica"/>
          <w:sz w:val="22"/>
          <w:szCs w:val="22"/>
        </w:rPr>
        <w:t>Artigo 1º - Os Anexos II e III do Decreto nº 69.182, de 18 de dezembro de 2024, ficam substituídos, respectivamente, pelos Anexos I e II deste decreto.</w:t>
      </w:r>
    </w:p>
    <w:p w14:paraId="04EB8FBF" w14:textId="77777777" w:rsidR="001E6ABC" w:rsidRDefault="001E6ABC" w:rsidP="001E6ABC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E6ABC">
        <w:rPr>
          <w:rFonts w:ascii="Helvetica" w:hAnsi="Helvetica"/>
          <w:sz w:val="22"/>
          <w:szCs w:val="22"/>
        </w:rPr>
        <w:t>Artigo 2º - Este decreto entra em vigor no primeiro dia do mês subsequente ao término do prazo de 30 (trinta) dias contado da data de sua publicação.</w:t>
      </w:r>
    </w:p>
    <w:p w14:paraId="0D17008E" w14:textId="5E447FE6" w:rsidR="001E6ABC" w:rsidRPr="001E6ABC" w:rsidRDefault="001E6ABC" w:rsidP="001E6ABC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E6ABC">
        <w:rPr>
          <w:rFonts w:ascii="Helvetica" w:hAnsi="Helvetica"/>
          <w:sz w:val="22"/>
          <w:szCs w:val="22"/>
        </w:rPr>
        <w:t>FELÍCIO RAMUTH</w:t>
      </w:r>
    </w:p>
    <w:p w14:paraId="0F87F9CE" w14:textId="3BF8CA92" w:rsidR="00FC53E0" w:rsidRPr="001E6ABC" w:rsidRDefault="001E6ABC" w:rsidP="001E6ABC">
      <w:pPr>
        <w:spacing w:before="60" w:after="60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1E6ABC">
        <w:rPr>
          <w:rFonts w:ascii="Helvetica" w:hAnsi="Helvetica"/>
          <w:b/>
          <w:bCs/>
          <w:sz w:val="22"/>
          <w:szCs w:val="22"/>
        </w:rPr>
        <w:t>“OBS.: ANEXOS CONSTANTES PARA DOWNLOAD”</w:t>
      </w:r>
    </w:p>
    <w:sectPr w:rsidR="00FC53E0" w:rsidRPr="001E6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BC"/>
    <w:rsid w:val="001E6ABC"/>
    <w:rsid w:val="007E77C1"/>
    <w:rsid w:val="00D8177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FDEA"/>
  <w15:chartTrackingRefBased/>
  <w15:docId w15:val="{2EC458AB-DA96-4588-9BC6-643B80CC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6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6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6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6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6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6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6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6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6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6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6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6A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6A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6A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6A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6A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6A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6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6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6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6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6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6A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6A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6A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6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6A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6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2026-01-08T13:05:00Z</dcterms:created>
  <dcterms:modified xsi:type="dcterms:W3CDTF">2026-01-08T13:10:00Z</dcterms:modified>
</cp:coreProperties>
</file>