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4DFB" w14:textId="6DBE5347" w:rsidR="00C261F8" w:rsidRPr="00DD4CF0" w:rsidRDefault="00C261F8" w:rsidP="008211EF">
      <w:pPr>
        <w:pStyle w:val="textocentralizado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D4CF0">
        <w:rPr>
          <w:rStyle w:val="Forte"/>
          <w:rFonts w:eastAsiaTheme="majorEastAsia"/>
          <w:color w:val="000000"/>
          <w:sz w:val="26"/>
          <w:szCs w:val="26"/>
        </w:rPr>
        <w:t xml:space="preserve">Lei Complementar nº </w:t>
      </w:r>
      <w:r w:rsidRPr="00DD4CF0">
        <w:rPr>
          <w:rStyle w:val="Forte"/>
          <w:rFonts w:eastAsiaTheme="majorEastAsia"/>
          <w:color w:val="000000"/>
          <w:sz w:val="26"/>
          <w:szCs w:val="26"/>
        </w:rPr>
        <w:t>1.403</w:t>
      </w:r>
      <w:r w:rsidRPr="00DD4CF0">
        <w:rPr>
          <w:rStyle w:val="Forte"/>
          <w:rFonts w:eastAsiaTheme="majorEastAsia"/>
          <w:color w:val="000000"/>
          <w:sz w:val="26"/>
          <w:szCs w:val="26"/>
        </w:rPr>
        <w:t xml:space="preserve">, de </w:t>
      </w:r>
      <w:r w:rsidRPr="00DD4CF0">
        <w:rPr>
          <w:rStyle w:val="Forte"/>
          <w:rFonts w:eastAsiaTheme="majorEastAsia"/>
          <w:color w:val="000000"/>
          <w:sz w:val="26"/>
          <w:szCs w:val="26"/>
        </w:rPr>
        <w:t xml:space="preserve">19 </w:t>
      </w:r>
      <w:r w:rsidRPr="00DD4CF0">
        <w:rPr>
          <w:rStyle w:val="Forte"/>
          <w:rFonts w:eastAsiaTheme="majorEastAsia"/>
          <w:color w:val="000000"/>
          <w:sz w:val="26"/>
          <w:szCs w:val="26"/>
        </w:rPr>
        <w:t xml:space="preserve">de </w:t>
      </w:r>
      <w:r w:rsidRPr="00DD4CF0">
        <w:rPr>
          <w:rStyle w:val="Forte"/>
          <w:rFonts w:eastAsiaTheme="majorEastAsia"/>
          <w:color w:val="000000"/>
          <w:sz w:val="26"/>
          <w:szCs w:val="26"/>
        </w:rPr>
        <w:t>junho</w:t>
      </w:r>
      <w:r w:rsidRPr="00DD4CF0">
        <w:rPr>
          <w:rStyle w:val="Forte"/>
          <w:rFonts w:eastAsiaTheme="majorEastAsia"/>
          <w:color w:val="000000"/>
          <w:sz w:val="26"/>
          <w:szCs w:val="26"/>
        </w:rPr>
        <w:t xml:space="preserve"> de 2024</w:t>
      </w:r>
    </w:p>
    <w:p w14:paraId="3F88859A" w14:textId="6C50E58F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37A429A" w14:textId="76839256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45A1019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i/>
          <w:iCs/>
          <w:color w:val="000000"/>
          <w:spacing w:val="10"/>
          <w:sz w:val="26"/>
          <w:szCs w:val="26"/>
        </w:rPr>
        <w:t>Dispõe sobre a concessão de abono complementar aos servidores, na forma que especifica.</w:t>
      </w:r>
    </w:p>
    <w:p w14:paraId="7E28562F" w14:textId="3091E2F5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C7F57BC" w14:textId="67BC9244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C55C181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30ED5598" w14:textId="48441C8F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BF97912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 complementar:</w:t>
      </w:r>
    </w:p>
    <w:p w14:paraId="4CA65AA4" w14:textId="78087C54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4F01AC6" w14:textId="4304C003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Artigo 1º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Quando a retribuição global mensal do servidor das Secretarias de Estado, da Procuradoria Geral do Estado, da Controladoria Geral do Estado e das autarquias for inferior aos valores fixados nos incisos I a III deste artigo, será concedido abono complementar para que sua retribuição global mensal corresponda a esses valores, na seguinte conformidade:</w:t>
      </w:r>
    </w:p>
    <w:p w14:paraId="2A3FE590" w14:textId="284705BD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05691A9" w14:textId="5B53B43C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I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R$ 1.640,00 (um mil, seiscentos e quarenta reais), quando em Jornada Completa de Trabalho;</w:t>
      </w:r>
    </w:p>
    <w:p w14:paraId="441F041E" w14:textId="353658C9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4EDD953" w14:textId="660C9E52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II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R$ 1.230,00 (um mil, duzentos e trinta reais), quando em Jornada Comum de Trabalho;</w:t>
      </w:r>
    </w:p>
    <w:p w14:paraId="63B72A9A" w14:textId="0D229CAA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4EA540E" w14:textId="654255B9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III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R$ 820,00 (oitocentos e vinte reais), quando em Jornada Parcial de Trabalho.</w:t>
      </w:r>
    </w:p>
    <w:p w14:paraId="2CA74519" w14:textId="3CDF9085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812A9C6" w14:textId="1B6CB4C0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§ 1º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Para os servidores regidos pela Lei Complementar nº 1.157, de 2 de dezembro de 2011, sujeitos à Jornada Básica de Trabalho ou à Jornada Específica de Trabalho, o abono complementar a que se refere o "caput" deste artigo será calculado com base no valor previsto no inciso I deste artigo.</w:t>
      </w:r>
    </w:p>
    <w:p w14:paraId="6F07D4AA" w14:textId="345EECE3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A765F64" w14:textId="35668490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§ 2º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 xml:space="preserve">Para os fins do disposto neste artigo, considera-se retribuição global mensal o somatório de todos os valores percebidos pelo servidor, em caráter permanente, tais como o vencimento, o salário, as gratificações incorporadas ou não, asseguradas pela legislação, excetuados o salário-família, o adicional por tempo de serviço, a sexta-parte, o adicional de insalubridade, o adicional de periculosidade, o adicional noturno, a Gratificação por Trabalho Noturno, o auxílio-transporte, o adicional de transporte, as diárias, a diária de alimentação, a ajuda de custo para alimentação, o reembolso de regime de quilometragem, o serviço extraordinário, a Gratificação pelo Desempenho de Atividades no POUPATEMPO, a Gratificação por Trabalho de Campo, a Gratificação por Atividades de Pagamentos Especiais - GAPE, prevista na Lei n° 14.016, de 12 de abril de 2010, a Gratificação do Registro Mercantil - GRM, prevista </w:t>
      </w:r>
      <w:r w:rsidRPr="00DD4CF0">
        <w:rPr>
          <w:color w:val="000000"/>
          <w:spacing w:val="10"/>
          <w:sz w:val="26"/>
          <w:szCs w:val="26"/>
        </w:rPr>
        <w:lastRenderedPageBreak/>
        <w:t>na Lei Complementar nº 1.187, de 28 de setembro de 2012, e a Gratificação pelo Desempenho de Atividades no DETRAN - GDAD, prevista na Lei Complementar nº 1.195, de 17 de janeiro de 2013.</w:t>
      </w:r>
    </w:p>
    <w:p w14:paraId="4A364CE1" w14:textId="38F8581D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0302D81" w14:textId="368DFB26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§ 3º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Excetuam-se da retribuição global mensal, para os fins do disposto neste artigo, o Prêmio de Incentivo previsto na Lei n° 8.975, de 25 de novembro de 1994, o Prêmio de Incentivo à Qualidade - PIQ, previsto na Lei Complementar n° 804, de 21 de dezembro de 1995, o Prêmio de Incentivo à Produtividade, previsto na Lei nº 9.352, de 30 de abril de 1996, o Prêmio de Incentivo à Produtividade e Qualidade - PIPQ, previsto na Lei Complementar nº 907, de 21 de dezembro de 2001, o Prêmio de Desempenho Individual - PDI, previsto na Lei Complementar nº 1.158, de 2 de dezembro de 2011, e o Prêmio de Produtividade Médica - PPM, previsto na Lei Complementar n° 1.193, de 02 de janeiro de 2013.</w:t>
      </w:r>
    </w:p>
    <w:p w14:paraId="734E7890" w14:textId="7FE8A330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4743030" w14:textId="313D993B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Artigo 2º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O disposto nesta lei complementar aplica-se, nas mesmas bases e condições, aos inativos e pensionistas com reajustes fixados pela paridade de remuneração.</w:t>
      </w:r>
    </w:p>
    <w:p w14:paraId="18696F4A" w14:textId="1AC96618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FDF3929" w14:textId="704C6E3E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Artigo 3º -</w:t>
      </w:r>
      <w:r w:rsidR="000448AE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As despesas decorrentes da aplicação desta lei complementar correrão à conta das dotações próprias consignadas no orçamento vigente, suplementadas se necessário.</w:t>
      </w:r>
    </w:p>
    <w:p w14:paraId="51A0941D" w14:textId="11A8F019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85EFB8C" w14:textId="24ED1C93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Artigo 4º -</w:t>
      </w:r>
      <w:r w:rsidR="00A06071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Ficam revogadas:</w:t>
      </w:r>
    </w:p>
    <w:p w14:paraId="0EE4E9A0" w14:textId="376DFDA8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EE368B3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 xml:space="preserve">I - </w:t>
      </w:r>
      <w:proofErr w:type="gramStart"/>
      <w:r w:rsidRPr="00DD4CF0">
        <w:rPr>
          <w:color w:val="000000"/>
          <w:spacing w:val="10"/>
          <w:sz w:val="26"/>
          <w:szCs w:val="26"/>
        </w:rPr>
        <w:t>a</w:t>
      </w:r>
      <w:proofErr w:type="gramEnd"/>
      <w:r w:rsidRPr="00DD4CF0">
        <w:rPr>
          <w:color w:val="000000"/>
          <w:spacing w:val="10"/>
          <w:sz w:val="26"/>
          <w:szCs w:val="26"/>
        </w:rPr>
        <w:t xml:space="preserve"> Lei Complementar nº 1.387, de 03 de julho de 2023;</w:t>
      </w:r>
    </w:p>
    <w:p w14:paraId="7534A977" w14:textId="0DCC7180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0561F9D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 xml:space="preserve">II - </w:t>
      </w:r>
      <w:proofErr w:type="gramStart"/>
      <w:r w:rsidRPr="00DD4CF0">
        <w:rPr>
          <w:color w:val="000000"/>
          <w:spacing w:val="10"/>
          <w:sz w:val="26"/>
          <w:szCs w:val="26"/>
        </w:rPr>
        <w:t>a</w:t>
      </w:r>
      <w:proofErr w:type="gramEnd"/>
      <w:r w:rsidRPr="00DD4CF0">
        <w:rPr>
          <w:color w:val="000000"/>
          <w:spacing w:val="10"/>
          <w:sz w:val="26"/>
          <w:szCs w:val="26"/>
        </w:rPr>
        <w:t xml:space="preserve"> Lei Complementar nº 1.379, de 30 de março de 2022;</w:t>
      </w:r>
    </w:p>
    <w:p w14:paraId="03077460" w14:textId="772AF3D8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0082C0A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III - a Lei Complementar nº 1.344, de 26 de agosto de 2019;</w:t>
      </w:r>
    </w:p>
    <w:p w14:paraId="648E6771" w14:textId="45D99616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6234293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 xml:space="preserve">IV - </w:t>
      </w:r>
      <w:proofErr w:type="gramStart"/>
      <w:r w:rsidRPr="00DD4CF0">
        <w:rPr>
          <w:color w:val="000000"/>
          <w:spacing w:val="10"/>
          <w:sz w:val="26"/>
          <w:szCs w:val="26"/>
        </w:rPr>
        <w:t>a</w:t>
      </w:r>
      <w:proofErr w:type="gramEnd"/>
      <w:r w:rsidRPr="00DD4CF0">
        <w:rPr>
          <w:color w:val="000000"/>
          <w:spacing w:val="10"/>
          <w:sz w:val="26"/>
          <w:szCs w:val="26"/>
        </w:rPr>
        <w:t xml:space="preserve"> Lei Complementar nº 1.318, de 21 de março de 2018;</w:t>
      </w:r>
    </w:p>
    <w:p w14:paraId="51BDEA27" w14:textId="475FA421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DCCB175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 xml:space="preserve">V - </w:t>
      </w:r>
      <w:proofErr w:type="gramStart"/>
      <w:r w:rsidRPr="00DD4CF0">
        <w:rPr>
          <w:color w:val="000000"/>
          <w:spacing w:val="10"/>
          <w:sz w:val="26"/>
          <w:szCs w:val="26"/>
        </w:rPr>
        <w:t>a</w:t>
      </w:r>
      <w:proofErr w:type="gramEnd"/>
      <w:r w:rsidRPr="00DD4CF0">
        <w:rPr>
          <w:color w:val="000000"/>
          <w:spacing w:val="10"/>
          <w:sz w:val="26"/>
          <w:szCs w:val="26"/>
        </w:rPr>
        <w:t xml:space="preserve"> Lei Complementar nº 1.299, de 30 de março de 2017;</w:t>
      </w:r>
    </w:p>
    <w:p w14:paraId="30C0C6CC" w14:textId="3B287389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E974C29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 xml:space="preserve">VI - </w:t>
      </w:r>
      <w:proofErr w:type="gramStart"/>
      <w:r w:rsidRPr="00DD4CF0">
        <w:rPr>
          <w:color w:val="000000"/>
          <w:spacing w:val="10"/>
          <w:sz w:val="26"/>
          <w:szCs w:val="26"/>
        </w:rPr>
        <w:t>a</w:t>
      </w:r>
      <w:proofErr w:type="gramEnd"/>
      <w:r w:rsidRPr="00DD4CF0">
        <w:rPr>
          <w:color w:val="000000"/>
          <w:spacing w:val="10"/>
          <w:sz w:val="26"/>
          <w:szCs w:val="26"/>
        </w:rPr>
        <w:t xml:space="preserve"> Lei Complementar nº 1.283, de 15 de março de 2016;</w:t>
      </w:r>
    </w:p>
    <w:p w14:paraId="3D51A8BF" w14:textId="19E517AD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0C377F0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VII - a Lei Complementar nº 1.255, de 19 de dezembro de 2014;</w:t>
      </w:r>
    </w:p>
    <w:p w14:paraId="65DCEFC7" w14:textId="04CA1793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7E78AF8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VIII - a Lei Complementar nº 1.228, de 27 de dezembro de 2013;</w:t>
      </w:r>
    </w:p>
    <w:p w14:paraId="38CB440E" w14:textId="57F72011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8FE9F81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 xml:space="preserve">IX - </w:t>
      </w:r>
      <w:proofErr w:type="gramStart"/>
      <w:r w:rsidRPr="00DD4CF0">
        <w:rPr>
          <w:color w:val="000000"/>
          <w:spacing w:val="10"/>
          <w:sz w:val="26"/>
          <w:szCs w:val="26"/>
        </w:rPr>
        <w:t>a</w:t>
      </w:r>
      <w:proofErr w:type="gramEnd"/>
      <w:r w:rsidRPr="00DD4CF0">
        <w:rPr>
          <w:color w:val="000000"/>
          <w:spacing w:val="10"/>
          <w:sz w:val="26"/>
          <w:szCs w:val="26"/>
        </w:rPr>
        <w:t xml:space="preserve"> Lei Complementar nº 1.194, de 14 de janeiro de 2013;</w:t>
      </w:r>
    </w:p>
    <w:p w14:paraId="0B3A1094" w14:textId="3E9618D2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D9AA2C8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 xml:space="preserve">X - </w:t>
      </w:r>
      <w:proofErr w:type="gramStart"/>
      <w:r w:rsidRPr="00DD4CF0">
        <w:rPr>
          <w:color w:val="000000"/>
          <w:spacing w:val="10"/>
          <w:sz w:val="26"/>
          <w:szCs w:val="26"/>
        </w:rPr>
        <w:t>a</w:t>
      </w:r>
      <w:proofErr w:type="gramEnd"/>
      <w:r w:rsidRPr="00DD4CF0">
        <w:rPr>
          <w:color w:val="000000"/>
          <w:spacing w:val="10"/>
          <w:sz w:val="26"/>
          <w:szCs w:val="26"/>
        </w:rPr>
        <w:t xml:space="preserve"> Lei Complementar nº 1.171, de 23 de março de 2012.</w:t>
      </w:r>
    </w:p>
    <w:p w14:paraId="4063A228" w14:textId="1F4318AB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950A7A8" w14:textId="519D8102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lastRenderedPageBreak/>
        <w:t>Artigo 5º -</w:t>
      </w:r>
      <w:r w:rsidR="00A6148F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D4CF0">
        <w:rPr>
          <w:color w:val="000000"/>
          <w:spacing w:val="10"/>
          <w:sz w:val="26"/>
          <w:szCs w:val="26"/>
        </w:rPr>
        <w:t>Esta lei complementar entra em vigor na data de sua publicação, produzindo efeitos a partir de 1° de junho de 2024.</w:t>
      </w:r>
    </w:p>
    <w:p w14:paraId="363CAAAE" w14:textId="0F7E77A4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06C9619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281D97E" w14:textId="18E49291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A817B55" w14:textId="3C4228DF" w:rsidR="00C261F8" w:rsidRPr="00DD4CF0" w:rsidRDefault="00A6148F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04654D71" w14:textId="13D7892A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86DBD16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Caio Paes de Andrade</w:t>
      </w:r>
    </w:p>
    <w:p w14:paraId="74FB9D13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Secretário de Gestão e Governo Digital</w:t>
      </w:r>
    </w:p>
    <w:p w14:paraId="73C5E8EC" w14:textId="5126D71D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A858BDD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Samuel Yoshiaki Oliveira Kinoshita</w:t>
      </w:r>
    </w:p>
    <w:p w14:paraId="405366F1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Secretário da Fazenda e Planejamento</w:t>
      </w:r>
    </w:p>
    <w:p w14:paraId="5AA0F43B" w14:textId="5A176726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BC65C9D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Gilberto Kassab</w:t>
      </w:r>
    </w:p>
    <w:p w14:paraId="33DBE36E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5B0B81F" w14:textId="4EDD010F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79449D7" w14:textId="77777777" w:rsidR="00C261F8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Arthur Luis Pinho de Lima</w:t>
      </w:r>
    </w:p>
    <w:p w14:paraId="39B01815" w14:textId="3D51EBA4" w:rsidR="00B1430F" w:rsidRPr="00DD4CF0" w:rsidRDefault="00C261F8" w:rsidP="008211E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4CF0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DD4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F8"/>
    <w:rsid w:val="000448AE"/>
    <w:rsid w:val="00566DB2"/>
    <w:rsid w:val="008211EF"/>
    <w:rsid w:val="00A06071"/>
    <w:rsid w:val="00A6148F"/>
    <w:rsid w:val="00AD136E"/>
    <w:rsid w:val="00B1430F"/>
    <w:rsid w:val="00C261F8"/>
    <w:rsid w:val="00DD4CF0"/>
    <w:rsid w:val="00DF4675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67AE"/>
  <w15:chartTrackingRefBased/>
  <w15:docId w15:val="{012D2134-6B1B-4213-B9E1-534B16C6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6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1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1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1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1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1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1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1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1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1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1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1F8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C2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261F8"/>
    <w:rPr>
      <w:b/>
      <w:bCs/>
    </w:rPr>
  </w:style>
  <w:style w:type="paragraph" w:styleId="NormalWeb">
    <w:name w:val="Normal (Web)"/>
    <w:basedOn w:val="Normal"/>
    <w:uiPriority w:val="99"/>
    <w:unhideWhenUsed/>
    <w:rsid w:val="00C2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4E6678-9A5A-4D15-AC07-12F119146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FEC21-3AA0-4080-812C-8B12F221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3828A-76DD-4D2C-85ED-44FFB847B790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693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8</cp:revision>
  <dcterms:created xsi:type="dcterms:W3CDTF">2024-06-21T18:43:00Z</dcterms:created>
  <dcterms:modified xsi:type="dcterms:W3CDTF">2024-06-21T20:19:00Z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