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82DA5" w14:textId="77777777" w:rsidR="00812EC9" w:rsidRPr="00812EC9" w:rsidRDefault="00812EC9" w:rsidP="00812EC9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Complementar nº 1.412, de 19 de setembro de 20</w:t>
      </w:r>
      <w:bookmarkEnd w:id="0"/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107BC931" w14:textId="5DF0E233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7E223C1" w14:textId="7D229584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982A3D7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Altera a Lei Complementar nº 1.050, de 24 de junho de 2008, que institui no Quadro da Defensoria Pública do Estado, as classes de apoio que especifica, e dá providências correlatas.</w:t>
      </w:r>
    </w:p>
    <w:p w14:paraId="63D44B57" w14:textId="32CEE4BC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25B3972" w14:textId="4629DCD5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0B7B962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034FBED2" w14:textId="4F09BDBB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5582614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 complementar:</w:t>
      </w:r>
    </w:p>
    <w:p w14:paraId="41B9920D" w14:textId="43C08D6B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724E3D4" w14:textId="59FA9A4D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- Dê-se nova redação ao artigo 24 da Lei Complementar nº 1.050, de 24 de junho de 2008:</w:t>
      </w:r>
    </w:p>
    <w:p w14:paraId="2D44ED18" w14:textId="4CFE1D95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8488A95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 xml:space="preserve">“Artigo 24 - Aos servidores integrantes do </w:t>
      </w:r>
      <w:proofErr w:type="spellStart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Subquadro</w:t>
      </w:r>
      <w:proofErr w:type="spellEnd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 xml:space="preserve"> de Cargos de Apoio da Defensoria Pública (SQCA) aplicam-se as vantagens não-pecuniárias e os afastamentos de que tratam os Capítulos VIII e IX do Título III da Lei complementar nº 988, de 9 de janeiro de 2006, e, no que couber, os deveres, proibições e impedimentos previstos no Capítulo III do Título IV, bem como o regime disciplinar de que trata o Título V da mesma lei complementar.</w:t>
      </w:r>
    </w:p>
    <w:p w14:paraId="21F9604E" w14:textId="4BC1C38E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6F05292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§ 1º - Ficam permitidas compensações em razão de atividades realizadas nos finais de semana, feriados ou recessos, mediante designação por ato do Defensor Público-Geral do Estado, observados os critérios definidos pelo Conselho Superior.</w:t>
      </w:r>
    </w:p>
    <w:p w14:paraId="7C9C9AC1" w14:textId="63780409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EE9D7B9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§ 2º - O indeferimento do gozo das compensações previstas no parágrafo anterior, por necessidade de serviço, gerará direito à indenização por dia de licença não gozada, nos termos de ato do Defensor Público-Geral do Estado.</w:t>
      </w:r>
    </w:p>
    <w:p w14:paraId="0C05A68F" w14:textId="0E3FCB3A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FD360F7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§ 3º - As infrações administrativas dos servidores de que trata o “caput” deste artigo serão apuradas por comissão processante designada pelo Corregedor-Geral da Defensoria Pública do Estado.” (NR).</w:t>
      </w:r>
    </w:p>
    <w:p w14:paraId="7B3BB33A" w14:textId="40643082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57AD8F" w14:textId="23D25FD8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 xml:space="preserve">Os valores dos vencimentos dos integrantes do </w:t>
      </w:r>
      <w:proofErr w:type="spellStart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Subquadro</w:t>
      </w:r>
      <w:proofErr w:type="spellEnd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 xml:space="preserve"> de Cargos de Apoio da Defensoria Pública do Estado – SQCA, a que se refere o artigo 12 da Lei Complementar nº 1.050, de 24 de junho de 2008, ficam fixados na conformidade do Anexo desta lei complementar.</w:t>
      </w:r>
    </w:p>
    <w:p w14:paraId="0AAA1999" w14:textId="5EA5CD28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AA4C378" w14:textId="00AFE830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Ficam revogados os seguintes dispositivos da Lei Complementar nº 1.338, de 10 de janeiro de 2019:</w:t>
      </w:r>
    </w:p>
    <w:p w14:paraId="5DEBB7F8" w14:textId="19BC60E2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FD9C15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 -</w:t>
      </w: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 </w:t>
      </w:r>
      <w:proofErr w:type="gramStart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o</w:t>
      </w:r>
      <w:proofErr w:type="gramEnd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 xml:space="preserve"> parágrafo único do artigo 5º;</w:t>
      </w:r>
    </w:p>
    <w:p w14:paraId="3A599630" w14:textId="6ADD8069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9E390FF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II -</w:t>
      </w: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 </w:t>
      </w:r>
      <w:proofErr w:type="gramStart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o</w:t>
      </w:r>
      <w:proofErr w:type="gramEnd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 xml:space="preserve"> parágrafo único do artigo 6º.</w:t>
      </w:r>
    </w:p>
    <w:p w14:paraId="4A3E4D25" w14:textId="4E9432D5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3225B5B" w14:textId="6561E1C8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lastRenderedPageBreak/>
        <w:t>Artigo 4º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As despesas decorrentes da aplicação desta lei complementar correrão à conta das dotações orçamentárias próprias consignadas no orçamento da Defensoria Pública do Estado.</w:t>
      </w:r>
    </w:p>
    <w:p w14:paraId="6817A6DF" w14:textId="266EE46E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E6999AB" w14:textId="15CD1364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5º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Esta lei complementar entra em vigor na data de sua publicação, retroagindo seus efeitos a 1º de julho de 2024</w:t>
      </w:r>
    </w:p>
    <w:p w14:paraId="64391B19" w14:textId="073E1BA4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DD17029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66C8CC2E" w14:textId="74B72796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04DE125" w14:textId="0046E953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06C31985" w14:textId="31768A7F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5B6A4F7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 xml:space="preserve">Samuel Yoshiaki Oliveira </w:t>
      </w:r>
      <w:proofErr w:type="spellStart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Kinoshita</w:t>
      </w:r>
      <w:proofErr w:type="spellEnd"/>
    </w:p>
    <w:p w14:paraId="4AE33A32" w14:textId="77777777" w:rsidR="00812EC9" w:rsidRPr="00812EC9" w:rsidRDefault="00812EC9" w:rsidP="00812EC9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Secretário da Fazenda e Planejamento</w:t>
      </w:r>
    </w:p>
    <w:p w14:paraId="0A3C7F49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4DEBD54E" w14:textId="77777777" w:rsidR="00812EC9" w:rsidRPr="00812EC9" w:rsidRDefault="00812EC9" w:rsidP="00812EC9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6B62FD9B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proofErr w:type="spellStart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Fraide</w:t>
      </w:r>
      <w:proofErr w:type="spellEnd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proofErr w:type="spellStart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Barrêto</w:t>
      </w:r>
      <w:proofErr w:type="spellEnd"/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 xml:space="preserve"> Sales</w:t>
      </w:r>
    </w:p>
    <w:p w14:paraId="4FA80F34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12EC9">
        <w:rPr>
          <w:rFonts w:ascii="Times New Roman" w:hAnsi="Times New Roman" w:cs="Times New Roman"/>
          <w:spacing w:val="10"/>
          <w:kern w:val="0"/>
          <w14:ligatures w14:val="none"/>
        </w:rPr>
        <w:t>Secretário Executivo respondendo pelo expediente da Casa Civil</w:t>
      </w:r>
    </w:p>
    <w:p w14:paraId="7D5C2D4E" w14:textId="2662EB14" w:rsid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A1856A5" w14:textId="77777777" w:rsidR="00812EC9" w:rsidRPr="00812EC9" w:rsidRDefault="00812EC9" w:rsidP="00812EC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56E8C1B" w14:textId="77777777" w:rsidR="00812EC9" w:rsidRPr="00812EC9" w:rsidRDefault="00812EC9" w:rsidP="00812EC9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</w:p>
    <w:p w14:paraId="3D01C23F" w14:textId="77777777" w:rsidR="00812EC9" w:rsidRPr="00812EC9" w:rsidRDefault="00812EC9" w:rsidP="00812EC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12EC9">
        <w:rPr>
          <w:rFonts w:ascii="Times New Roman" w:hAnsi="Times New Roman" w:cs="Times New Roman"/>
          <w:b/>
          <w:bCs/>
          <w:color w:val="000000"/>
        </w:rPr>
        <w:t xml:space="preserve">ANEXO </w:t>
      </w:r>
    </w:p>
    <w:p w14:paraId="0785CDF2" w14:textId="77777777" w:rsidR="00812EC9" w:rsidRPr="00812EC9" w:rsidRDefault="00812EC9" w:rsidP="00812EC9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333A7556" w14:textId="77777777" w:rsidR="00812EC9" w:rsidRPr="00812EC9" w:rsidRDefault="00812EC9" w:rsidP="00812EC9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812EC9">
        <w:rPr>
          <w:rFonts w:ascii="Times New Roman" w:hAnsi="Times New Roman" w:cs="Times New Roman"/>
          <w:color w:val="000000"/>
        </w:rPr>
        <w:t xml:space="preserve"> a que se refere o artigo 2º desta Lei Complementar.</w:t>
      </w:r>
    </w:p>
    <w:p w14:paraId="64B43576" w14:textId="77777777" w:rsidR="00812EC9" w:rsidRPr="00812EC9" w:rsidRDefault="00812EC9" w:rsidP="00812EC9">
      <w:pPr>
        <w:spacing w:line="276" w:lineRule="auto"/>
        <w:jc w:val="center"/>
        <w:rPr>
          <w:rFonts w:ascii="Times New Roman" w:hAnsi="Times New Roman" w:cs="Times New Roman"/>
          <w:color w:val="000000"/>
          <w:sz w:val="16"/>
        </w:rPr>
      </w:pPr>
    </w:p>
    <w:tbl>
      <w:tblPr>
        <w:tblW w:w="0" w:type="auto"/>
        <w:tblInd w:w="202" w:type="dxa"/>
        <w:tblLayout w:type="fixed"/>
        <w:tblLook w:val="04A0" w:firstRow="1" w:lastRow="0" w:firstColumn="1" w:lastColumn="0" w:noHBand="0" w:noVBand="1"/>
      </w:tblPr>
      <w:tblGrid>
        <w:gridCol w:w="996"/>
        <w:gridCol w:w="1198"/>
        <w:gridCol w:w="1492"/>
        <w:gridCol w:w="1275"/>
        <w:gridCol w:w="1134"/>
        <w:gridCol w:w="1276"/>
        <w:gridCol w:w="1418"/>
      </w:tblGrid>
      <w:tr w:rsidR="00812EC9" w:rsidRPr="00812EC9" w14:paraId="2A383AF0" w14:textId="77777777" w:rsidTr="00AB6BC6">
        <w:trPr>
          <w:trHeight w:val="300"/>
        </w:trPr>
        <w:tc>
          <w:tcPr>
            <w:tcW w:w="878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073EC2C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12EC9">
              <w:rPr>
                <w:rFonts w:ascii="Times New Roman" w:hAnsi="Times New Roman" w:cs="Times New Roman"/>
                <w:color w:val="000000"/>
              </w:rPr>
              <w:t>Escala de Vencimentos</w:t>
            </w:r>
            <w:r w:rsidRPr="00812EC9">
              <w:rPr>
                <w:rFonts w:ascii="Times New Roman" w:hAnsi="Times New Roman" w:cs="Times New Roman"/>
                <w:color w:val="0000FF"/>
              </w:rPr>
              <w:t xml:space="preserve"> – </w:t>
            </w:r>
            <w:r w:rsidRPr="00812EC9">
              <w:rPr>
                <w:rFonts w:ascii="Times New Roman" w:hAnsi="Times New Roman" w:cs="Times New Roman"/>
                <w:color w:val="000000"/>
              </w:rPr>
              <w:t>Intermediária</w:t>
            </w:r>
          </w:p>
        </w:tc>
      </w:tr>
      <w:tr w:rsidR="00812EC9" w:rsidRPr="00812EC9" w14:paraId="1B0ACE55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A39D2D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REF/GRAU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75A712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3B39FFC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B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D0D76F1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898C0B5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725D2B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110C2B8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F</w:t>
            </w:r>
          </w:p>
        </w:tc>
      </w:tr>
      <w:tr w:rsidR="00812EC9" w:rsidRPr="00812EC9" w14:paraId="1870C431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89A6348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5DF70D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  4.312,49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7F7A31F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4.635,93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239A1A5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4.983,63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7FB186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5.357,40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6E4CD2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5.759,20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29E92C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6.191,14 </w:t>
            </w:r>
          </w:p>
        </w:tc>
      </w:tr>
      <w:tr w:rsidR="00812EC9" w:rsidRPr="00812EC9" w14:paraId="7D30EE09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923499F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9CC1DA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  5.341,51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69933D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5.742,12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E662866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6.172,78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028CFD6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6.635,74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8BA051B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7.133,42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362B7C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7.668,43 </w:t>
            </w:r>
          </w:p>
        </w:tc>
      </w:tr>
      <w:tr w:rsidR="00812EC9" w:rsidRPr="00812EC9" w14:paraId="57470EDC" w14:textId="77777777" w:rsidTr="00AB6BC6">
        <w:trPr>
          <w:trHeight w:val="300"/>
        </w:trPr>
        <w:tc>
          <w:tcPr>
            <w:tcW w:w="99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928B79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A172FE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694D4C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6B2E049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75300C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65184DE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06329C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12EC9" w:rsidRPr="00812EC9" w14:paraId="3ED6E9B7" w14:textId="77777777" w:rsidTr="00AB6BC6">
        <w:trPr>
          <w:trHeight w:val="300"/>
        </w:trPr>
        <w:tc>
          <w:tcPr>
            <w:tcW w:w="99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C11FE0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94AAF1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12C558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CD926A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1ABD67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850633F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EFC4459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12EC9" w:rsidRPr="00812EC9" w14:paraId="4C30CB54" w14:textId="77777777" w:rsidTr="00AB6BC6">
        <w:trPr>
          <w:trHeight w:val="300"/>
        </w:trPr>
        <w:tc>
          <w:tcPr>
            <w:tcW w:w="878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5D0F416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12EC9">
              <w:rPr>
                <w:rFonts w:ascii="Times New Roman" w:hAnsi="Times New Roman" w:cs="Times New Roman"/>
                <w:color w:val="000000"/>
              </w:rPr>
              <w:t>Escala de Vencimentos – Superior/ Superior Jurídico</w:t>
            </w:r>
          </w:p>
        </w:tc>
      </w:tr>
      <w:tr w:rsidR="00812EC9" w:rsidRPr="00812EC9" w14:paraId="60545F56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6F53F78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REF/GRAU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9908BEE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954D8D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B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70E9BF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682755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5DBD12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CF2F958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F</w:t>
            </w:r>
          </w:p>
        </w:tc>
      </w:tr>
      <w:tr w:rsidR="00812EC9" w:rsidRPr="00812EC9" w14:paraId="7CBB2984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FDA5331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5B6365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  9.123,70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A4ED87C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  9.807,97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DD3C7B8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10.543,57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0A199F1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11.334,34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29B599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12.184,41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CC8C1AF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13.098,24 </w:t>
            </w:r>
          </w:p>
        </w:tc>
      </w:tr>
      <w:tr w:rsidR="00812EC9" w:rsidRPr="00812EC9" w14:paraId="303E9200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334B01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753C45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10.220,19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39EEAC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10.986,71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2A0E911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11.810,71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21A342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12.696,51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24F832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13.648,75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F663CFE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R$   14.672,41 </w:t>
            </w:r>
          </w:p>
        </w:tc>
      </w:tr>
      <w:tr w:rsidR="00812EC9" w:rsidRPr="00812EC9" w14:paraId="4E1B3BD8" w14:textId="77777777" w:rsidTr="00AB6BC6">
        <w:trPr>
          <w:trHeight w:val="300"/>
        </w:trPr>
        <w:tc>
          <w:tcPr>
            <w:tcW w:w="99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B73C68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9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3949358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5E5708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E1A076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79A4AD6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535E6D5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FE55339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6BB65D0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812EC9" w:rsidRPr="00812EC9" w14:paraId="3A46AB9F" w14:textId="77777777" w:rsidTr="00AB6BC6">
        <w:trPr>
          <w:trHeight w:val="300"/>
        </w:trPr>
        <w:tc>
          <w:tcPr>
            <w:tcW w:w="99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5D39BC6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9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20BA74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41D89B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C39F8E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70F205F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A599D9F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B00D70C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812EC9" w:rsidRPr="00812EC9" w14:paraId="65DC29BE" w14:textId="77777777" w:rsidTr="00AB6BC6">
        <w:trPr>
          <w:trHeight w:val="300"/>
        </w:trPr>
        <w:tc>
          <w:tcPr>
            <w:tcW w:w="3686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432B87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12EC9">
              <w:rPr>
                <w:rFonts w:ascii="Times New Roman" w:hAnsi="Times New Roman" w:cs="Times New Roman"/>
                <w:color w:val="000000"/>
              </w:rPr>
              <w:t>Escala de Vencimentos</w:t>
            </w:r>
            <w:r w:rsidRPr="00812EC9">
              <w:rPr>
                <w:rFonts w:ascii="Times New Roman" w:hAnsi="Times New Roman" w:cs="Times New Roman"/>
                <w:color w:val="0000FF"/>
              </w:rPr>
              <w:t xml:space="preserve"> – </w:t>
            </w:r>
            <w:r w:rsidRPr="00812EC9">
              <w:rPr>
                <w:rFonts w:ascii="Times New Roman" w:hAnsi="Times New Roman" w:cs="Times New Roman"/>
                <w:color w:val="000000"/>
              </w:rPr>
              <w:t>Comissão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8DAC46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12E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BAD9F3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12E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EC1441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12E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75D002B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12E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2EC9" w:rsidRPr="00812EC9" w14:paraId="0FFEB890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A3A39BC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REF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6C5C7B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>VALOR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C8BE9A9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E8FCFFB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E2ADD59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D7A814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FBDD0C3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812EC9" w:rsidRPr="00812EC9" w14:paraId="40E60C52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9FB191F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0FF859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  3.881,72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5B3D436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EE0C88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078A8C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FEF785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0E8753B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12EC9" w:rsidRPr="00812EC9" w14:paraId="02DE2104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4738A9B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F99322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  8.322,47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326C85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1E0329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1013F7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7ECA10E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BEB746C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12EC9" w:rsidRPr="00812EC9" w14:paraId="2DEA2C68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EA53866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3715F66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10.196,98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F659B5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804C61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A308C2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137E145B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6DFAC8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12EC9" w:rsidRPr="00812EC9" w14:paraId="60D42355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BB64D3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BBC78F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11.216,68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878801B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1D75B76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DDC7491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D70A915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613634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12EC9" w:rsidRPr="00812EC9" w14:paraId="14C83583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55C68FE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534AE7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12.032,42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114FA8B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CDC8A01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3A7043C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95A2A4B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315576F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12EC9" w:rsidRPr="00812EC9" w14:paraId="08A20947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FB9A38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FC44491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14.639,38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787618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FB5D68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DF2F7D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D1BD3C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F98EBFC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12EC9" w:rsidRPr="00812EC9" w14:paraId="25FFBC1E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4B4A9D6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0884F2C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16.447,53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F636468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30FE3F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3AA44A4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618185A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56B0730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12EC9" w:rsidRPr="00812EC9" w14:paraId="61847F0E" w14:textId="77777777" w:rsidTr="00AB6BC6">
        <w:trPr>
          <w:trHeight w:val="300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5EE0922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6853D867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R$    20.735,67 </w:t>
            </w:r>
          </w:p>
        </w:tc>
        <w:tc>
          <w:tcPr>
            <w:tcW w:w="1492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3A1D96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231D6902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3A52347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14:paraId="7EB4732D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12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BB38865" w14:textId="77777777" w:rsidR="00812EC9" w:rsidRPr="00812EC9" w:rsidRDefault="00812EC9" w:rsidP="00AB6BC6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</w:tbl>
    <w:p w14:paraId="330B195F" w14:textId="77777777" w:rsidR="00812EC9" w:rsidRPr="00812EC9" w:rsidRDefault="00812EC9" w:rsidP="00812EC9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</w:p>
    <w:sectPr w:rsidR="00812EC9" w:rsidRPr="00812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C9"/>
    <w:rsid w:val="006F6F78"/>
    <w:rsid w:val="008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8C40"/>
  <w15:chartTrackingRefBased/>
  <w15:docId w15:val="{9D7A4DF6-14DB-4C4B-B5C2-18C9B918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2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2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2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2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2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2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2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2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2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2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2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E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2E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2E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2E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2E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2E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2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2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2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2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2E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2E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2E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2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2E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2E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1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683C01-3642-4792-BF47-1E8A007A7E51}"/>
</file>

<file path=customXml/itemProps2.xml><?xml version="1.0" encoding="utf-8"?>
<ds:datastoreItem xmlns:ds="http://schemas.openxmlformats.org/officeDocument/2006/customXml" ds:itemID="{1EDB603D-8289-4B30-A934-AE9611A00643}"/>
</file>

<file path=customXml/itemProps3.xml><?xml version="1.0" encoding="utf-8"?>
<ds:datastoreItem xmlns:ds="http://schemas.openxmlformats.org/officeDocument/2006/customXml" ds:itemID="{3E46423B-7C2D-47B8-990F-632BDD787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2024-09-25T20:59:00Z</dcterms:created>
  <dcterms:modified xsi:type="dcterms:W3CDTF">2024-09-25T21:07:00Z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