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5DD40A86" w:rsidR="000707CD" w:rsidRDefault="000707CD" w:rsidP="008F4558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</w:t>
      </w:r>
      <w:r w:rsidR="00AA7C2B">
        <w:rPr>
          <w:b/>
          <w:color w:val="000000"/>
          <w:spacing w:val="10"/>
          <w:sz w:val="26"/>
          <w:szCs w:val="26"/>
        </w:rPr>
        <w:t xml:space="preserve">Complementar </w:t>
      </w:r>
      <w:r>
        <w:rPr>
          <w:b/>
          <w:color w:val="000000"/>
          <w:spacing w:val="10"/>
          <w:sz w:val="26"/>
          <w:szCs w:val="26"/>
        </w:rPr>
        <w:t>nº</w:t>
      </w:r>
      <w:r w:rsidR="00D353D2">
        <w:rPr>
          <w:b/>
          <w:color w:val="000000"/>
          <w:spacing w:val="10"/>
          <w:sz w:val="26"/>
          <w:szCs w:val="26"/>
        </w:rPr>
        <w:t>1.429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D353D2">
        <w:rPr>
          <w:b/>
          <w:color w:val="000000"/>
          <w:spacing w:val="10"/>
          <w:sz w:val="26"/>
          <w:szCs w:val="26"/>
        </w:rPr>
        <w:t>16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D353D2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60771EDE" w:rsidR="000707CD" w:rsidRDefault="00441EBA" w:rsidP="008F4558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441EBA">
        <w:rPr>
          <w:i/>
          <w:color w:val="000000"/>
          <w:spacing w:val="10"/>
          <w:sz w:val="26"/>
          <w:szCs w:val="26"/>
        </w:rPr>
        <w:t>Dispõe sobre a criação de varas de entrâncias final e intermediária e dá outras providências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8F4558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38892BBD" w:rsidR="000707CD" w:rsidRDefault="000707CD" w:rsidP="008F4558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</w:t>
      </w:r>
      <w:r w:rsidR="008F4558">
        <w:rPr>
          <w:b/>
          <w:color w:val="000000"/>
          <w:spacing w:val="10"/>
          <w:sz w:val="26"/>
          <w:szCs w:val="26"/>
        </w:rPr>
        <w:t xml:space="preserve"> complementar</w:t>
      </w:r>
      <w:r>
        <w:rPr>
          <w:b/>
          <w:color w:val="000000"/>
          <w:spacing w:val="10"/>
          <w:sz w:val="26"/>
          <w:szCs w:val="26"/>
        </w:rPr>
        <w:t>:</w:t>
      </w:r>
    </w:p>
    <w:p w14:paraId="2D9AA41F" w14:textId="78D4B643" w:rsidR="00DD2142" w:rsidRPr="00DD2142" w:rsidRDefault="000707CD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DD2142" w:rsidRPr="00DD2142">
        <w:rPr>
          <w:color w:val="000000"/>
          <w:spacing w:val="10"/>
          <w:sz w:val="26"/>
          <w:szCs w:val="26"/>
        </w:rPr>
        <w:t>Ficam criadas:</w:t>
      </w:r>
    </w:p>
    <w:p w14:paraId="2096FC06" w14:textId="5A423E8D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117BC">
        <w:rPr>
          <w:b/>
          <w:bCs/>
          <w:color w:val="000000"/>
          <w:spacing w:val="10"/>
          <w:sz w:val="26"/>
          <w:szCs w:val="26"/>
        </w:rPr>
        <w:t xml:space="preserve">I </w:t>
      </w:r>
      <w:r w:rsidR="002117BC" w:rsidRPr="002117BC">
        <w:rPr>
          <w:b/>
          <w:bCs/>
          <w:color w:val="000000"/>
          <w:spacing w:val="10"/>
          <w:sz w:val="26"/>
          <w:szCs w:val="26"/>
        </w:rPr>
        <w:t>-</w:t>
      </w:r>
      <w:r w:rsidR="002117BC">
        <w:rPr>
          <w:color w:val="000000"/>
          <w:spacing w:val="10"/>
          <w:sz w:val="26"/>
          <w:szCs w:val="26"/>
        </w:rPr>
        <w:t xml:space="preserve"> </w:t>
      </w:r>
      <w:r w:rsidRPr="00DD2142">
        <w:rPr>
          <w:color w:val="000000"/>
          <w:spacing w:val="10"/>
          <w:sz w:val="26"/>
          <w:szCs w:val="26"/>
        </w:rPr>
        <w:t>50 (cinquenta) varas, classificadas como de entrância final;</w:t>
      </w:r>
    </w:p>
    <w:p w14:paraId="5B4F45F3" w14:textId="48291A0E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117BC">
        <w:rPr>
          <w:b/>
          <w:bCs/>
          <w:color w:val="000000"/>
          <w:spacing w:val="10"/>
          <w:sz w:val="26"/>
          <w:szCs w:val="26"/>
        </w:rPr>
        <w:t xml:space="preserve">II </w:t>
      </w:r>
      <w:r w:rsidR="002117BC" w:rsidRPr="002117BC">
        <w:rPr>
          <w:b/>
          <w:bCs/>
          <w:color w:val="000000"/>
          <w:spacing w:val="10"/>
          <w:sz w:val="26"/>
          <w:szCs w:val="26"/>
        </w:rPr>
        <w:t>-</w:t>
      </w:r>
      <w:r w:rsidR="002117BC">
        <w:rPr>
          <w:color w:val="000000"/>
          <w:spacing w:val="10"/>
          <w:sz w:val="26"/>
          <w:szCs w:val="26"/>
        </w:rPr>
        <w:t xml:space="preserve"> </w:t>
      </w:r>
      <w:r w:rsidRPr="00DD2142">
        <w:rPr>
          <w:color w:val="000000"/>
          <w:spacing w:val="10"/>
          <w:sz w:val="26"/>
          <w:szCs w:val="26"/>
        </w:rPr>
        <w:t>30 (trinta) varas, classificadas como de entrância intermediária.</w:t>
      </w:r>
    </w:p>
    <w:p w14:paraId="0B3B57F8" w14:textId="5458568A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91003A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 w:rsidR="0091003A" w:rsidRPr="0091003A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A competência e o território das varas criadas nos incisos I e II deste artigo serão definidos por resolução do Tribunal de Justiça.</w:t>
      </w:r>
    </w:p>
    <w:p w14:paraId="6B173F45" w14:textId="3ED2E95F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91003A">
        <w:rPr>
          <w:b/>
          <w:bCs/>
          <w:color w:val="000000"/>
          <w:spacing w:val="10"/>
          <w:sz w:val="26"/>
          <w:szCs w:val="26"/>
        </w:rPr>
        <w:t xml:space="preserve">Artigo 2º </w:t>
      </w:r>
      <w:r w:rsidR="00383522">
        <w:rPr>
          <w:b/>
          <w:bCs/>
          <w:color w:val="000000"/>
          <w:spacing w:val="10"/>
          <w:sz w:val="26"/>
          <w:szCs w:val="26"/>
        </w:rPr>
        <w:t xml:space="preserve">- </w:t>
      </w:r>
      <w:r w:rsidRPr="00DD2142">
        <w:rPr>
          <w:color w:val="000000"/>
          <w:spacing w:val="10"/>
          <w:sz w:val="26"/>
          <w:szCs w:val="26"/>
        </w:rPr>
        <w:t>São criados, na Parte Permanente do Quadro do Tribunal de Justiça:</w:t>
      </w:r>
    </w:p>
    <w:p w14:paraId="75E33CF7" w14:textId="31C3C4DD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91003A">
        <w:rPr>
          <w:b/>
          <w:bCs/>
          <w:color w:val="000000"/>
          <w:spacing w:val="10"/>
          <w:sz w:val="26"/>
          <w:szCs w:val="26"/>
        </w:rPr>
        <w:t>I</w:t>
      </w:r>
      <w:r w:rsidR="0091003A" w:rsidRPr="0091003A">
        <w:rPr>
          <w:b/>
          <w:bCs/>
          <w:color w:val="000000"/>
          <w:spacing w:val="10"/>
          <w:sz w:val="26"/>
          <w:szCs w:val="26"/>
        </w:rPr>
        <w:t xml:space="preserve"> -</w:t>
      </w:r>
      <w:r w:rsidRPr="00DD2142">
        <w:rPr>
          <w:color w:val="000000"/>
          <w:spacing w:val="10"/>
          <w:sz w:val="26"/>
          <w:szCs w:val="26"/>
        </w:rPr>
        <w:t xml:space="preserve"> 50 (cinquenta) cargos de Juiz de Direito, classificados como de entrância final e 50 (cinquenta) ofícios judiciais destinados às varas criadas pelo inciso I do artigo 1º desta lei complementar;</w:t>
      </w:r>
    </w:p>
    <w:p w14:paraId="29A6B629" w14:textId="2E20B3D4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D5DDA">
        <w:rPr>
          <w:b/>
          <w:bCs/>
          <w:color w:val="000000"/>
          <w:spacing w:val="10"/>
          <w:sz w:val="26"/>
          <w:szCs w:val="26"/>
        </w:rPr>
        <w:t xml:space="preserve">II </w:t>
      </w:r>
      <w:r w:rsidR="0091003A" w:rsidRPr="00BD5DDA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30 (trinta) cargos de Juiz de Direito, classificados como de entrância intermediária e 30 (trinta) ofícios judiciais destinados às varas criadas pelo inciso II do artigo 1º desta lei complementar.</w:t>
      </w:r>
    </w:p>
    <w:p w14:paraId="5106D802" w14:textId="73ED8EF2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 xml:space="preserve">Artigo 3º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São criados, no Subquadro de Cargos Públicos do Quadro do Tribunal de Justiça, para atender à estrutura dos ofícios judiciais previstos no artigo 2º, os seguintes cargos com jornada de trabalho de 40 (quarenta) horas semanais, de que trata a Lei Complementar n</w:t>
      </w:r>
      <w:r w:rsidR="00091B1A">
        <w:rPr>
          <w:color w:val="000000"/>
          <w:spacing w:val="10"/>
          <w:sz w:val="26"/>
          <w:szCs w:val="26"/>
        </w:rPr>
        <w:t>.</w:t>
      </w:r>
      <w:r w:rsidRPr="00DD2142">
        <w:rPr>
          <w:color w:val="000000"/>
          <w:spacing w:val="10"/>
          <w:sz w:val="26"/>
          <w:szCs w:val="26"/>
        </w:rPr>
        <w:t>º 1.111, de 25 de maio de 2010, alterada pela Lei Complementar n</w:t>
      </w:r>
      <w:r w:rsidR="00091B1A">
        <w:rPr>
          <w:color w:val="000000"/>
          <w:spacing w:val="10"/>
          <w:sz w:val="26"/>
          <w:szCs w:val="26"/>
        </w:rPr>
        <w:t>.</w:t>
      </w:r>
      <w:r w:rsidRPr="00DD2142">
        <w:rPr>
          <w:color w:val="000000"/>
          <w:spacing w:val="10"/>
          <w:sz w:val="26"/>
          <w:szCs w:val="26"/>
        </w:rPr>
        <w:t xml:space="preserve">º 1.217, de 12 de novembro de 2013: </w:t>
      </w:r>
    </w:p>
    <w:p w14:paraId="0E99A78F" w14:textId="187F70F5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>I</w:t>
      </w:r>
      <w:r w:rsidRPr="00DD2142">
        <w:rPr>
          <w:color w:val="000000"/>
          <w:spacing w:val="10"/>
          <w:sz w:val="26"/>
          <w:szCs w:val="26"/>
        </w:rPr>
        <w:t xml:space="preserve"> </w:t>
      </w:r>
      <w:r w:rsidR="002C4EDD">
        <w:rPr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50 (cinquenta) cargos de Coordenador, referência X, nível I, da Escala de Vencimentos – Cargos em Comissão;</w:t>
      </w:r>
    </w:p>
    <w:p w14:paraId="37BDE2D4" w14:textId="0C459390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>II</w:t>
      </w:r>
      <w:r w:rsidR="002C4EDD">
        <w:rPr>
          <w:color w:val="000000"/>
          <w:spacing w:val="10"/>
          <w:sz w:val="26"/>
          <w:szCs w:val="26"/>
        </w:rPr>
        <w:t xml:space="preserve"> -</w:t>
      </w:r>
      <w:r w:rsidRPr="00DD2142">
        <w:rPr>
          <w:color w:val="000000"/>
          <w:spacing w:val="10"/>
          <w:sz w:val="26"/>
          <w:szCs w:val="26"/>
        </w:rPr>
        <w:t xml:space="preserve"> 30 (trinta) cargos de Supervisor de Serviço, referência VIII, nível I, da Escala de Vencimentos – Cargos em Comissão;</w:t>
      </w:r>
    </w:p>
    <w:p w14:paraId="0AB3BC9B" w14:textId="3BB1DD26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lastRenderedPageBreak/>
        <w:t xml:space="preserve">III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160 (cento e sessenta) cargos de Chefe de Seção Judiciário, referência VI, nível I, da Escala de Vencimentos – Cargos em Comissão;</w:t>
      </w:r>
    </w:p>
    <w:p w14:paraId="2C5734C4" w14:textId="4208FE7C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 xml:space="preserve">IV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720 (setecentos e vinte) cargos de Escrevente Técnico Judiciário, padrão 5-A, da Escala de Vencimentos – Cargos Efetivos.</w:t>
      </w:r>
    </w:p>
    <w:p w14:paraId="39839A04" w14:textId="2CB2A607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>Artigo 4º</w:t>
      </w:r>
      <w:r w:rsidR="00F417FF">
        <w:rPr>
          <w:b/>
          <w:bCs/>
          <w:color w:val="000000"/>
          <w:spacing w:val="10"/>
          <w:sz w:val="26"/>
          <w:szCs w:val="26"/>
        </w:rPr>
        <w:t xml:space="preserve">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O Tribunal de Justiça poderá, segundo critérios técnicos de movimentação processual, com fundamento na racionalização dos serviços judiciais, fixar, alterar, remanejar ou especializar competências das varas em todo o Estado, bem como os respectivos cargos de Juiz de Direito, ofícios judiciais e seus cargos, assim como os cargos de Juiz de Direito Auxiliar e Substituto, e alterar os limites territoriais e remanejá-los.</w:t>
      </w:r>
    </w:p>
    <w:p w14:paraId="2551FD13" w14:textId="48A32C10" w:rsidR="00DD2142" w:rsidRPr="00DD2142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 xml:space="preserve">Artigo 5º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As despesas resultantes da aplicação desta lei complementar correrão à conta de dotações orçamentárias consignadas no orçamento-programa vigente, suplementadas, se necessário.</w:t>
      </w:r>
    </w:p>
    <w:p w14:paraId="4F827561" w14:textId="0597F35F" w:rsidR="003B3C21" w:rsidRPr="003B3C21" w:rsidRDefault="00DD2142" w:rsidP="008F4558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C4EDD">
        <w:rPr>
          <w:b/>
          <w:bCs/>
          <w:color w:val="000000"/>
          <w:spacing w:val="10"/>
          <w:sz w:val="26"/>
          <w:szCs w:val="26"/>
        </w:rPr>
        <w:t xml:space="preserve">Artigo 6º </w:t>
      </w:r>
      <w:r w:rsidR="002C4EDD" w:rsidRPr="002C4EDD">
        <w:rPr>
          <w:b/>
          <w:bCs/>
          <w:color w:val="000000"/>
          <w:spacing w:val="10"/>
          <w:sz w:val="26"/>
          <w:szCs w:val="26"/>
        </w:rPr>
        <w:t>-</w:t>
      </w:r>
      <w:r w:rsidRPr="00DD2142">
        <w:rPr>
          <w:color w:val="000000"/>
          <w:spacing w:val="10"/>
          <w:sz w:val="26"/>
          <w:szCs w:val="26"/>
        </w:rPr>
        <w:t xml:space="preserve"> Esta lei complementar entra em vigor na data de sua publicação, revogadas as disposições em contrário.</w:t>
      </w:r>
    </w:p>
    <w:p w14:paraId="582AEFB2" w14:textId="68B8BA4B" w:rsidR="000D76D2" w:rsidRDefault="000D76D2" w:rsidP="008F4558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8F4558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80A9BB2" w14:textId="77777777" w:rsidR="00D06A0B" w:rsidRDefault="00D06A0B" w:rsidP="008F4558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3E1B9E9" w14:textId="77777777" w:rsidR="00D06A0B" w:rsidRPr="004C187E" w:rsidRDefault="00D06A0B" w:rsidP="00D06A0B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65A6162E" w14:textId="77777777" w:rsidR="00D06A0B" w:rsidRPr="004C187E" w:rsidRDefault="00D06A0B" w:rsidP="00D06A0B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49A35FDD" w14:textId="77777777" w:rsidR="006360E4" w:rsidRPr="007D45D4" w:rsidRDefault="006360E4" w:rsidP="006360E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Samuel Yoshiaki Oliveira Kinoshita</w:t>
      </w:r>
    </w:p>
    <w:p w14:paraId="1BA18F22" w14:textId="77777777" w:rsidR="006360E4" w:rsidRDefault="006360E4" w:rsidP="006360E4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Arthur Luis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B38F" w14:textId="77777777" w:rsidR="00375E7B" w:rsidRDefault="00375E7B">
      <w:r>
        <w:separator/>
      </w:r>
    </w:p>
  </w:endnote>
  <w:endnote w:type="continuationSeparator" w:id="0">
    <w:p w14:paraId="79CCDF07" w14:textId="77777777" w:rsidR="00375E7B" w:rsidRDefault="003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5489" w14:textId="77777777" w:rsidR="00375E7B" w:rsidRDefault="00375E7B">
      <w:r>
        <w:separator/>
      </w:r>
    </w:p>
  </w:footnote>
  <w:footnote w:type="continuationSeparator" w:id="0">
    <w:p w14:paraId="5406741A" w14:textId="77777777" w:rsidR="00375E7B" w:rsidRDefault="0037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814346390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1C4A"/>
    <w:rsid w:val="00060449"/>
    <w:rsid w:val="0006360E"/>
    <w:rsid w:val="00065EDC"/>
    <w:rsid w:val="00066C7B"/>
    <w:rsid w:val="000707CD"/>
    <w:rsid w:val="00071BC2"/>
    <w:rsid w:val="0007566B"/>
    <w:rsid w:val="00091B1A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266C5"/>
    <w:rsid w:val="00135A67"/>
    <w:rsid w:val="001411AB"/>
    <w:rsid w:val="00151F84"/>
    <w:rsid w:val="00154CEF"/>
    <w:rsid w:val="001649D9"/>
    <w:rsid w:val="001A0908"/>
    <w:rsid w:val="001C551A"/>
    <w:rsid w:val="001D37DD"/>
    <w:rsid w:val="00201223"/>
    <w:rsid w:val="002117BC"/>
    <w:rsid w:val="00234012"/>
    <w:rsid w:val="00235251"/>
    <w:rsid w:val="0023700F"/>
    <w:rsid w:val="00263331"/>
    <w:rsid w:val="00263D1A"/>
    <w:rsid w:val="002C0DFA"/>
    <w:rsid w:val="002C4EDD"/>
    <w:rsid w:val="002D75AD"/>
    <w:rsid w:val="002F3E70"/>
    <w:rsid w:val="002F6F7F"/>
    <w:rsid w:val="003057E6"/>
    <w:rsid w:val="00314A58"/>
    <w:rsid w:val="00323496"/>
    <w:rsid w:val="00325597"/>
    <w:rsid w:val="003271DB"/>
    <w:rsid w:val="00331FB0"/>
    <w:rsid w:val="003728CA"/>
    <w:rsid w:val="00372A01"/>
    <w:rsid w:val="00375E7B"/>
    <w:rsid w:val="00383522"/>
    <w:rsid w:val="003A0ED7"/>
    <w:rsid w:val="003B3C21"/>
    <w:rsid w:val="003D3452"/>
    <w:rsid w:val="003F4456"/>
    <w:rsid w:val="004055EA"/>
    <w:rsid w:val="00413CBF"/>
    <w:rsid w:val="00417B30"/>
    <w:rsid w:val="00420D4A"/>
    <w:rsid w:val="00425976"/>
    <w:rsid w:val="004314AE"/>
    <w:rsid w:val="00440623"/>
    <w:rsid w:val="00441EBA"/>
    <w:rsid w:val="00453D71"/>
    <w:rsid w:val="00491569"/>
    <w:rsid w:val="004A5CB6"/>
    <w:rsid w:val="004B640D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726EE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360E4"/>
    <w:rsid w:val="006410A9"/>
    <w:rsid w:val="006501D6"/>
    <w:rsid w:val="006520CF"/>
    <w:rsid w:val="00665C74"/>
    <w:rsid w:val="00667B12"/>
    <w:rsid w:val="00673AF1"/>
    <w:rsid w:val="00677A1F"/>
    <w:rsid w:val="00693E54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D04DC"/>
    <w:rsid w:val="008D11A3"/>
    <w:rsid w:val="008F1994"/>
    <w:rsid w:val="008F2D6B"/>
    <w:rsid w:val="008F4558"/>
    <w:rsid w:val="0091003A"/>
    <w:rsid w:val="00930DA4"/>
    <w:rsid w:val="00933C41"/>
    <w:rsid w:val="0097002C"/>
    <w:rsid w:val="009804E6"/>
    <w:rsid w:val="0098618B"/>
    <w:rsid w:val="009863A6"/>
    <w:rsid w:val="009B08DE"/>
    <w:rsid w:val="009C03C9"/>
    <w:rsid w:val="009E787A"/>
    <w:rsid w:val="009F1CA6"/>
    <w:rsid w:val="00A06F61"/>
    <w:rsid w:val="00A32C26"/>
    <w:rsid w:val="00A340EC"/>
    <w:rsid w:val="00A3438B"/>
    <w:rsid w:val="00A406E8"/>
    <w:rsid w:val="00A7322D"/>
    <w:rsid w:val="00A81BE2"/>
    <w:rsid w:val="00A844D8"/>
    <w:rsid w:val="00AA7C2B"/>
    <w:rsid w:val="00AA7D61"/>
    <w:rsid w:val="00AB5ACF"/>
    <w:rsid w:val="00AD1919"/>
    <w:rsid w:val="00AD19E6"/>
    <w:rsid w:val="00B204F2"/>
    <w:rsid w:val="00B27EEA"/>
    <w:rsid w:val="00B71E11"/>
    <w:rsid w:val="00B84CE2"/>
    <w:rsid w:val="00BD5DDA"/>
    <w:rsid w:val="00BF5D35"/>
    <w:rsid w:val="00C23E4C"/>
    <w:rsid w:val="00C24526"/>
    <w:rsid w:val="00C25BD6"/>
    <w:rsid w:val="00C27060"/>
    <w:rsid w:val="00C365B9"/>
    <w:rsid w:val="00C435D7"/>
    <w:rsid w:val="00C43950"/>
    <w:rsid w:val="00C46CDA"/>
    <w:rsid w:val="00C67C7A"/>
    <w:rsid w:val="00C71D60"/>
    <w:rsid w:val="00C828A9"/>
    <w:rsid w:val="00C85DE8"/>
    <w:rsid w:val="00C93913"/>
    <w:rsid w:val="00CB75A2"/>
    <w:rsid w:val="00CD5E13"/>
    <w:rsid w:val="00CF3B69"/>
    <w:rsid w:val="00D002B0"/>
    <w:rsid w:val="00D06A0B"/>
    <w:rsid w:val="00D353D2"/>
    <w:rsid w:val="00D35643"/>
    <w:rsid w:val="00D53351"/>
    <w:rsid w:val="00D56D56"/>
    <w:rsid w:val="00D6634D"/>
    <w:rsid w:val="00D771FC"/>
    <w:rsid w:val="00DA0E42"/>
    <w:rsid w:val="00DA353B"/>
    <w:rsid w:val="00DB204B"/>
    <w:rsid w:val="00DD2142"/>
    <w:rsid w:val="00DF1FE7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415A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17FF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D06A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3</cp:revision>
  <cp:lastPrinted>1900-01-01T02:00:00Z</cp:lastPrinted>
  <dcterms:created xsi:type="dcterms:W3CDTF">2025-07-18T15:14:00Z</dcterms:created>
  <dcterms:modified xsi:type="dcterms:W3CDTF">2025-07-18T15:20:00Z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