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AC3B5" w14:textId="77777777" w:rsidR="00C141C8" w:rsidRPr="00DE711D" w:rsidRDefault="00C141C8" w:rsidP="00C141C8">
      <w:pPr>
        <w:pStyle w:val="textocentralizado"/>
        <w:spacing w:before="120" w:beforeAutospacing="0" w:after="120" w:afterAutospacing="0"/>
        <w:ind w:right="-1"/>
        <w:jc w:val="center"/>
        <w:rPr>
          <w:color w:val="000000"/>
          <w:spacing w:val="10"/>
          <w:sz w:val="26"/>
          <w:szCs w:val="26"/>
        </w:rPr>
      </w:pPr>
      <w:r w:rsidRPr="00DE711D">
        <w:rPr>
          <w:rStyle w:val="Forte"/>
          <w:rFonts w:eastAsiaTheme="majorEastAsia"/>
          <w:color w:val="000000"/>
          <w:spacing w:val="10"/>
          <w:sz w:val="26"/>
          <w:szCs w:val="26"/>
        </w:rPr>
        <w:t xml:space="preserve">Lei Complementar nº </w:t>
      </w:r>
      <w:r w:rsidRPr="00DE711D">
        <w:rPr>
          <w:rStyle w:val="Forte"/>
          <w:rFonts w:eastAsiaTheme="majorEastAsia"/>
          <w:color w:val="000000"/>
          <w:spacing w:val="10"/>
          <w:sz w:val="26"/>
          <w:szCs w:val="26"/>
        </w:rPr>
        <w:t>1.399</w:t>
      </w:r>
      <w:r w:rsidRPr="00DE711D">
        <w:rPr>
          <w:rStyle w:val="Forte"/>
          <w:rFonts w:eastAsiaTheme="majorEastAsia"/>
          <w:color w:val="000000"/>
          <w:spacing w:val="10"/>
          <w:sz w:val="26"/>
          <w:szCs w:val="26"/>
        </w:rPr>
        <w:t xml:space="preserve">, de </w:t>
      </w:r>
      <w:r w:rsidRPr="00DE711D">
        <w:rPr>
          <w:rStyle w:val="Forte"/>
          <w:rFonts w:eastAsiaTheme="majorEastAsia"/>
          <w:color w:val="000000"/>
          <w:spacing w:val="10"/>
          <w:sz w:val="26"/>
          <w:szCs w:val="26"/>
        </w:rPr>
        <w:t>28</w:t>
      </w:r>
      <w:r w:rsidRPr="00DE711D">
        <w:rPr>
          <w:rStyle w:val="Forte"/>
          <w:rFonts w:eastAsiaTheme="majorEastAsia"/>
          <w:color w:val="000000"/>
          <w:spacing w:val="10"/>
          <w:sz w:val="26"/>
          <w:szCs w:val="26"/>
        </w:rPr>
        <w:t xml:space="preserve"> de </w:t>
      </w:r>
      <w:r w:rsidRPr="00DE711D">
        <w:rPr>
          <w:rStyle w:val="Forte"/>
          <w:rFonts w:eastAsiaTheme="majorEastAsia"/>
          <w:color w:val="000000"/>
          <w:spacing w:val="10"/>
          <w:sz w:val="26"/>
          <w:szCs w:val="26"/>
        </w:rPr>
        <w:t>maio</w:t>
      </w:r>
      <w:r w:rsidRPr="00DE711D">
        <w:rPr>
          <w:rStyle w:val="Forte"/>
          <w:rFonts w:eastAsiaTheme="majorEastAsia"/>
          <w:color w:val="000000"/>
          <w:spacing w:val="10"/>
          <w:sz w:val="26"/>
          <w:szCs w:val="26"/>
        </w:rPr>
        <w:t xml:space="preserve"> de 2024</w:t>
      </w:r>
    </w:p>
    <w:p w14:paraId="4652C14F"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6FCEC345"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6A262A85" w14:textId="77777777" w:rsidR="00C141C8" w:rsidRPr="00973735" w:rsidRDefault="00C141C8" w:rsidP="00973735">
      <w:pPr>
        <w:pStyle w:val="NormalWeb"/>
        <w:spacing w:before="0" w:beforeAutospacing="0" w:after="0" w:afterAutospacing="0"/>
        <w:ind w:right="-1"/>
        <w:jc w:val="both"/>
        <w:rPr>
          <w:b/>
          <w:bCs/>
          <w:color w:val="000000"/>
          <w:spacing w:val="10"/>
          <w:sz w:val="26"/>
          <w:szCs w:val="26"/>
        </w:rPr>
      </w:pPr>
      <w:r w:rsidRPr="00973735">
        <w:rPr>
          <w:b/>
          <w:bCs/>
          <w:i/>
          <w:iCs/>
          <w:color w:val="000000"/>
          <w:spacing w:val="10"/>
          <w:sz w:val="26"/>
          <w:szCs w:val="26"/>
          <w:shd w:val="clear" w:color="auto" w:fill="FFFFFF"/>
        </w:rPr>
        <w:t>Altera a Lei Complementar nº 1.270, de 25 de agosto de 2015 - Lei Orgânica da Procuradoria Geral do Estado de São Paulo</w:t>
      </w:r>
      <w:r w:rsidRPr="00973735">
        <w:rPr>
          <w:b/>
          <w:bCs/>
          <w:i/>
          <w:iCs/>
          <w:color w:val="000000"/>
          <w:spacing w:val="10"/>
          <w:sz w:val="26"/>
          <w:szCs w:val="26"/>
          <w:shd w:val="clear" w:color="auto" w:fill="FFFFFF"/>
        </w:rPr>
        <w:t>.</w:t>
      </w:r>
    </w:p>
    <w:p w14:paraId="553A2547"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32B50363"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654FCAB3"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O GOVERNADOR DO ESTADO DE SÃO PAULO:</w:t>
      </w:r>
    </w:p>
    <w:p w14:paraId="412017C8"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073D3CEF"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5357582B"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Faço saber que a Assembleia Legislativa decreta e eu promulgo a seguinte lei complementar:</w:t>
      </w:r>
    </w:p>
    <w:p w14:paraId="58DE3E10"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60FFE0D9"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Artigo 1º</w:t>
      </w:r>
      <w:r w:rsidRPr="00DE711D">
        <w:rPr>
          <w:color w:val="000000"/>
          <w:spacing w:val="10"/>
          <w:sz w:val="26"/>
          <w:szCs w:val="26"/>
          <w:shd w:val="clear" w:color="auto" w:fill="FFFFFF"/>
        </w:rPr>
        <w:t xml:space="preserve"> - Ficam acrescidos à Lei Complementar nº 1.270, de 25 de agosto de 2015, os dispositivos adiante indicados, com a seguinte redação:</w:t>
      </w:r>
    </w:p>
    <w:p w14:paraId="5361DA65"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6C042E4E"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I</w:t>
      </w:r>
      <w:r w:rsidRPr="00DE711D">
        <w:rPr>
          <w:color w:val="000000"/>
          <w:spacing w:val="10"/>
          <w:sz w:val="26"/>
          <w:szCs w:val="26"/>
          <w:shd w:val="clear" w:color="auto" w:fill="FFFFFF"/>
        </w:rPr>
        <w:t xml:space="preserve"> - </w:t>
      </w:r>
      <w:proofErr w:type="gramStart"/>
      <w:r w:rsidRPr="00DE711D">
        <w:rPr>
          <w:color w:val="000000"/>
          <w:spacing w:val="10"/>
          <w:sz w:val="26"/>
          <w:szCs w:val="26"/>
          <w:shd w:val="clear" w:color="auto" w:fill="FFFFFF"/>
        </w:rPr>
        <w:t>ao</w:t>
      </w:r>
      <w:proofErr w:type="gramEnd"/>
      <w:r w:rsidRPr="00DE711D">
        <w:rPr>
          <w:color w:val="000000"/>
          <w:spacing w:val="10"/>
          <w:sz w:val="26"/>
          <w:szCs w:val="26"/>
          <w:shd w:val="clear" w:color="auto" w:fill="FFFFFF"/>
        </w:rPr>
        <w:t xml:space="preserve"> artigo 113:</w:t>
      </w:r>
    </w:p>
    <w:p w14:paraId="77714977"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501C400F"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a)</w:t>
      </w:r>
      <w:r w:rsidRPr="00DE711D">
        <w:rPr>
          <w:color w:val="000000"/>
          <w:spacing w:val="10"/>
          <w:sz w:val="26"/>
          <w:szCs w:val="26"/>
          <w:shd w:val="clear" w:color="auto" w:fill="FFFFFF"/>
        </w:rPr>
        <w:t xml:space="preserve"> o inciso XI-A:</w:t>
      </w:r>
    </w:p>
    <w:p w14:paraId="66D25397"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2DDDC763"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“XI-A - compensatória, em virtude do desempenho das atribuições do cargo em condições de excesso de serviço.” (NR);</w:t>
      </w:r>
    </w:p>
    <w:p w14:paraId="3036DA49"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4360FAA3"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b)</w:t>
      </w:r>
      <w:r w:rsidRPr="00DE711D">
        <w:rPr>
          <w:color w:val="000000"/>
          <w:spacing w:val="10"/>
          <w:sz w:val="26"/>
          <w:szCs w:val="26"/>
          <w:shd w:val="clear" w:color="auto" w:fill="FFFFFF"/>
        </w:rPr>
        <w:t xml:space="preserve"> o § 1º:</w:t>
      </w:r>
    </w:p>
    <w:p w14:paraId="7A7C0A11"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039B19A1"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 1º - Ato do Procurador Geral do Estado disporá sobre a licença de que trata o inciso XI-A deste artigo, inclusive quanto aos critérios e limites de concessão do benefício, observando:</w:t>
      </w:r>
    </w:p>
    <w:p w14:paraId="7032D4E1"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691DC00F"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 xml:space="preserve">1 - </w:t>
      </w:r>
      <w:proofErr w:type="gramStart"/>
      <w:r w:rsidRPr="00DE711D">
        <w:rPr>
          <w:color w:val="000000"/>
          <w:spacing w:val="10"/>
          <w:sz w:val="26"/>
          <w:szCs w:val="26"/>
          <w:shd w:val="clear" w:color="auto" w:fill="FFFFFF"/>
        </w:rPr>
        <w:t>os</w:t>
      </w:r>
      <w:proofErr w:type="gramEnd"/>
      <w:r w:rsidRPr="00DE711D">
        <w:rPr>
          <w:color w:val="000000"/>
          <w:spacing w:val="10"/>
          <w:sz w:val="26"/>
          <w:szCs w:val="26"/>
          <w:shd w:val="clear" w:color="auto" w:fill="FFFFFF"/>
        </w:rPr>
        <w:t xml:space="preserve"> dias de compensação devidos por atividade, respeitada a proporção de, no mínimo, 3 (três) dias de trabalho para 1 (um) dia de licença, limitando-se a até 7 (sete) dias de licença por mês;</w:t>
      </w:r>
    </w:p>
    <w:p w14:paraId="355DF743"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70E389D2"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 xml:space="preserve">2 - </w:t>
      </w:r>
      <w:proofErr w:type="gramStart"/>
      <w:r w:rsidRPr="00DE711D">
        <w:rPr>
          <w:color w:val="000000"/>
          <w:spacing w:val="10"/>
          <w:sz w:val="26"/>
          <w:szCs w:val="26"/>
          <w:shd w:val="clear" w:color="auto" w:fill="FFFFFF"/>
        </w:rPr>
        <w:t>a</w:t>
      </w:r>
      <w:proofErr w:type="gramEnd"/>
      <w:r w:rsidRPr="00DE711D">
        <w:rPr>
          <w:color w:val="000000"/>
          <w:spacing w:val="10"/>
          <w:sz w:val="26"/>
          <w:szCs w:val="26"/>
          <w:shd w:val="clear" w:color="auto" w:fill="FFFFFF"/>
        </w:rPr>
        <w:t xml:space="preserve"> metodologia de apuração do excesso de serviço, que levará em consideração, dentre outros fatores, a projeção de trabalho por local de exercício, a complexidade do serviço e as peculiaridades da área de atuação.” (NR);</w:t>
      </w:r>
    </w:p>
    <w:p w14:paraId="642B3E3D"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69FF9B3A"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c)</w:t>
      </w:r>
      <w:r w:rsidRPr="00DE711D">
        <w:rPr>
          <w:color w:val="000000"/>
          <w:spacing w:val="10"/>
          <w:sz w:val="26"/>
          <w:szCs w:val="26"/>
          <w:shd w:val="clear" w:color="auto" w:fill="FFFFFF"/>
        </w:rPr>
        <w:t xml:space="preserve"> o § 2º:</w:t>
      </w:r>
    </w:p>
    <w:p w14:paraId="0DF2DD96"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392B6AFB"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 2º - O gozo da licença de que trata o inciso XI-A deste artigo deverá ocorrer até o fim do exercício subsequente ao exercício de aquisição do direito.” (NR);</w:t>
      </w:r>
    </w:p>
    <w:p w14:paraId="51B3EE75"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7ECFDF15"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d)</w:t>
      </w:r>
      <w:r w:rsidRPr="00DE711D">
        <w:rPr>
          <w:color w:val="000000"/>
          <w:spacing w:val="10"/>
          <w:sz w:val="26"/>
          <w:szCs w:val="26"/>
          <w:shd w:val="clear" w:color="auto" w:fill="FFFFFF"/>
        </w:rPr>
        <w:t xml:space="preserve"> o § 3º:</w:t>
      </w:r>
    </w:p>
    <w:p w14:paraId="07AE2E01"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40279C21"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lastRenderedPageBreak/>
        <w:t>“§ 3º - O indeferimento do gozo da licença de que trata o inciso XI-A deste artigo, por necessidade de serviço, no prazo de que trata o § 2º, gerará direito à indenização à razão de 1/30 (um trinta avos) da remuneração total do cargo de Procurador do Estado Nível V, por dia de licença não gozada, nos termos de ato do Procurador Geral do Estado.” (NR);</w:t>
      </w:r>
    </w:p>
    <w:p w14:paraId="4A9D6791"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139B0DC1"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e)</w:t>
      </w:r>
      <w:r w:rsidRPr="00DE711D">
        <w:rPr>
          <w:color w:val="000000"/>
          <w:spacing w:val="10"/>
          <w:sz w:val="26"/>
          <w:szCs w:val="26"/>
          <w:shd w:val="clear" w:color="auto" w:fill="FFFFFF"/>
        </w:rPr>
        <w:t xml:space="preserve"> o § 4º:</w:t>
      </w:r>
    </w:p>
    <w:p w14:paraId="3E6B640E"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38EA36BE"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 4º - As atividades de que trata o inciso XI-A deste artigo não poderão ser gratificadas ou remuneradas se o Procurador do Estado optar pela licença compensatória.” (NR);</w:t>
      </w:r>
    </w:p>
    <w:p w14:paraId="0C42DFB5"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7C8CDD92"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f)</w:t>
      </w:r>
      <w:r w:rsidRPr="00DE711D">
        <w:rPr>
          <w:color w:val="000000"/>
          <w:spacing w:val="10"/>
          <w:sz w:val="26"/>
          <w:szCs w:val="26"/>
          <w:shd w:val="clear" w:color="auto" w:fill="FFFFFF"/>
        </w:rPr>
        <w:t xml:space="preserve"> o § 5º:</w:t>
      </w:r>
    </w:p>
    <w:p w14:paraId="431D1A6E"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4E8BD97C"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 5º - A licença de que trata o inciso XI-A deste artigo será concedida para compensar o desempenho das atribuições previstas nos incisos XI, XII e XIII do artigo 121 desta lei complementar.” (NR);</w:t>
      </w:r>
    </w:p>
    <w:p w14:paraId="6623369F"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6FF36406"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g)</w:t>
      </w:r>
      <w:r w:rsidRPr="00DE711D">
        <w:rPr>
          <w:color w:val="000000"/>
          <w:spacing w:val="10"/>
          <w:sz w:val="26"/>
          <w:szCs w:val="26"/>
          <w:shd w:val="clear" w:color="auto" w:fill="FFFFFF"/>
        </w:rPr>
        <w:t xml:space="preserve"> o § 6º:</w:t>
      </w:r>
    </w:p>
    <w:p w14:paraId="67513A74"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323C7325"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 6º - O número máximo de dias de licença por mês, de que trata a parte final do item 1 do § 1º deste artigo, poderá ser reduzido por decreto.” (NR).</w:t>
      </w:r>
    </w:p>
    <w:p w14:paraId="541A27B5"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0A723FB8"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II -</w:t>
      </w:r>
      <w:r w:rsidRPr="00DE711D">
        <w:rPr>
          <w:color w:val="000000"/>
          <w:spacing w:val="10"/>
          <w:sz w:val="26"/>
          <w:szCs w:val="26"/>
          <w:shd w:val="clear" w:color="auto" w:fill="FFFFFF"/>
        </w:rPr>
        <w:t xml:space="preserve"> </w:t>
      </w:r>
      <w:proofErr w:type="gramStart"/>
      <w:r w:rsidRPr="00DE711D">
        <w:rPr>
          <w:color w:val="000000"/>
          <w:spacing w:val="10"/>
          <w:sz w:val="26"/>
          <w:szCs w:val="26"/>
          <w:shd w:val="clear" w:color="auto" w:fill="FFFFFF"/>
        </w:rPr>
        <w:t>ao</w:t>
      </w:r>
      <w:proofErr w:type="gramEnd"/>
      <w:r w:rsidRPr="00DE711D">
        <w:rPr>
          <w:color w:val="000000"/>
          <w:spacing w:val="10"/>
          <w:sz w:val="26"/>
          <w:szCs w:val="26"/>
          <w:shd w:val="clear" w:color="auto" w:fill="FFFFFF"/>
        </w:rPr>
        <w:t xml:space="preserve"> artigo 121:</w:t>
      </w:r>
    </w:p>
    <w:p w14:paraId="5C033E13"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03713CA4"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a)</w:t>
      </w:r>
      <w:r w:rsidRPr="00DE711D">
        <w:rPr>
          <w:color w:val="000000"/>
          <w:spacing w:val="10"/>
          <w:sz w:val="26"/>
          <w:szCs w:val="26"/>
          <w:shd w:val="clear" w:color="auto" w:fill="FFFFFF"/>
        </w:rPr>
        <w:t xml:space="preserve"> o inciso XI:</w:t>
      </w:r>
    </w:p>
    <w:p w14:paraId="2A301BF9"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12ADE25F"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“XI - acumular, integral ou parcialmente, as atribuições de outro Procurador do Estado em virtude de férias ou licenças;” (NR);</w:t>
      </w:r>
    </w:p>
    <w:p w14:paraId="33D211DB"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1D03D301"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b)</w:t>
      </w:r>
      <w:r w:rsidRPr="00DE711D">
        <w:rPr>
          <w:color w:val="000000"/>
          <w:spacing w:val="10"/>
          <w:sz w:val="26"/>
          <w:szCs w:val="26"/>
          <w:shd w:val="clear" w:color="auto" w:fill="FFFFFF"/>
        </w:rPr>
        <w:t xml:space="preserve"> o inciso XII:</w:t>
      </w:r>
    </w:p>
    <w:p w14:paraId="36C29C0A"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62E8FAD5"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“XII - cumprir plantão, durante os finais de semana e feriados, para o atendimento de providências extrajudiciais ou judiciais, conforme ato do Procurador Geral do Estado;” (NR);</w:t>
      </w:r>
    </w:p>
    <w:p w14:paraId="1EEB96FF"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4F0C7167"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c)</w:t>
      </w:r>
      <w:r w:rsidRPr="00DE711D">
        <w:rPr>
          <w:color w:val="000000"/>
          <w:spacing w:val="10"/>
          <w:sz w:val="26"/>
          <w:szCs w:val="26"/>
          <w:shd w:val="clear" w:color="auto" w:fill="FFFFFF"/>
        </w:rPr>
        <w:t xml:space="preserve"> o inciso XIII:</w:t>
      </w:r>
    </w:p>
    <w:p w14:paraId="2B67622C"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382DFF16"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“XIII - participar, de forma cumulativa com as suas atribuições ordinárias, de grupos de trabalho, comitês, mutirões, programas de colaboração ou de quaisquer atividades públicas relevantes, congêneres, reconhecidas ou instituídas por ato do Procurador Geral do Estado ou por outro órgão ou entidade da Administração Pública.” (NR).</w:t>
      </w:r>
    </w:p>
    <w:p w14:paraId="579FC54F" w14:textId="59AD1A5A" w:rsidR="00C141C8" w:rsidRPr="00DE711D" w:rsidRDefault="00C141C8" w:rsidP="00973735">
      <w:pPr>
        <w:pStyle w:val="NormalWeb"/>
        <w:spacing w:before="0" w:beforeAutospacing="0" w:after="0" w:afterAutospacing="0"/>
        <w:ind w:right="-1"/>
        <w:jc w:val="both"/>
        <w:rPr>
          <w:color w:val="000000"/>
          <w:spacing w:val="10"/>
          <w:sz w:val="26"/>
          <w:szCs w:val="26"/>
        </w:rPr>
      </w:pPr>
    </w:p>
    <w:p w14:paraId="27614B22"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Artigo 2º</w:t>
      </w:r>
      <w:r w:rsidRPr="00DE711D">
        <w:rPr>
          <w:color w:val="000000"/>
          <w:spacing w:val="10"/>
          <w:sz w:val="26"/>
          <w:szCs w:val="26"/>
          <w:shd w:val="clear" w:color="auto" w:fill="FFFFFF"/>
        </w:rPr>
        <w:t xml:space="preserve"> - As despesas decorrentes da aplicação desta lei complementar correrão, exclusivamente, à conta dos recursos arrecadados ao Fundo de </w:t>
      </w:r>
      <w:r w:rsidRPr="00DE711D">
        <w:rPr>
          <w:color w:val="000000"/>
          <w:spacing w:val="10"/>
          <w:sz w:val="26"/>
          <w:szCs w:val="26"/>
          <w:shd w:val="clear" w:color="auto" w:fill="FFFFFF"/>
        </w:rPr>
        <w:lastRenderedPageBreak/>
        <w:t>Administração da Procuradoria Geral do Estado, a título de honorários advocatícios, em processos ou procedimentos judiciais ou administrativos, vedada a utilização dos recursos de que trata a parte final do § 1º do artigo 55 da Lei Complementar nº 93, de 28 de maio de 1974.</w:t>
      </w:r>
    </w:p>
    <w:p w14:paraId="5A8C0C40"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49BED63B"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Artigo 3º</w:t>
      </w:r>
      <w:r w:rsidRPr="00DE711D">
        <w:rPr>
          <w:color w:val="000000"/>
          <w:spacing w:val="10"/>
          <w:sz w:val="26"/>
          <w:szCs w:val="26"/>
          <w:shd w:val="clear" w:color="auto" w:fill="FFFFFF"/>
        </w:rPr>
        <w:t xml:space="preserve"> - Esta lei complementar entra em vigor na data de sua publicação. </w:t>
      </w:r>
    </w:p>
    <w:p w14:paraId="392D6D40"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1EC50598"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Palácio dos Bandeirantes, na data da assinatura digital.</w:t>
      </w:r>
    </w:p>
    <w:p w14:paraId="07746DCA"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18A4A27F" w14:textId="7E3AB5F7" w:rsidR="00C141C8" w:rsidRPr="00DE711D" w:rsidRDefault="0025448E" w:rsidP="00973735">
      <w:pPr>
        <w:pStyle w:val="NormalWeb"/>
        <w:spacing w:before="0" w:beforeAutospacing="0" w:after="0" w:afterAutospacing="0"/>
        <w:ind w:right="-1"/>
        <w:jc w:val="both"/>
        <w:rPr>
          <w:color w:val="000000"/>
          <w:spacing w:val="10"/>
          <w:sz w:val="26"/>
          <w:szCs w:val="26"/>
        </w:rPr>
      </w:pPr>
      <w:r w:rsidRPr="00DE711D">
        <w:rPr>
          <w:b/>
          <w:bCs/>
          <w:color w:val="000000"/>
          <w:spacing w:val="10"/>
          <w:sz w:val="26"/>
          <w:szCs w:val="26"/>
          <w:shd w:val="clear" w:color="auto" w:fill="FFFFFF"/>
        </w:rPr>
        <w:t>TARCÍSIO DE FREITAS</w:t>
      </w:r>
    </w:p>
    <w:p w14:paraId="6EEE5255"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47D981FC"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Inês Maria dos Santos Coimbra</w:t>
      </w:r>
    </w:p>
    <w:p w14:paraId="7E5C8B2B"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Procuradora-Geral do Estado</w:t>
      </w:r>
    </w:p>
    <w:p w14:paraId="3F53DCAB"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0F456344"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 xml:space="preserve">Samuel Yoshiaki Oliveira </w:t>
      </w:r>
      <w:proofErr w:type="spellStart"/>
      <w:r w:rsidRPr="00DE711D">
        <w:rPr>
          <w:color w:val="000000"/>
          <w:spacing w:val="10"/>
          <w:sz w:val="26"/>
          <w:szCs w:val="26"/>
          <w:shd w:val="clear" w:color="auto" w:fill="FFFFFF"/>
        </w:rPr>
        <w:t>Kinoshita</w:t>
      </w:r>
      <w:proofErr w:type="spellEnd"/>
    </w:p>
    <w:p w14:paraId="73FDE4B1"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Secretário da Fazenda e Planejamento</w:t>
      </w:r>
    </w:p>
    <w:p w14:paraId="6E3B54F5"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7537222D"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Gilberto Kassab</w:t>
      </w:r>
    </w:p>
    <w:p w14:paraId="5F271D32"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Secretário de Governo e Relações Institucionais</w:t>
      </w:r>
    </w:p>
    <w:p w14:paraId="7A97E2F3"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p>
    <w:p w14:paraId="2FEA71AD" w14:textId="77777777" w:rsidR="00C141C8" w:rsidRPr="00DE711D" w:rsidRDefault="00C141C8" w:rsidP="00973735">
      <w:pPr>
        <w:pStyle w:val="NormalWeb"/>
        <w:spacing w:before="0" w:beforeAutospacing="0" w:after="0" w:afterAutospacing="0"/>
        <w:ind w:right="-1"/>
        <w:jc w:val="both"/>
        <w:rPr>
          <w:color w:val="000000"/>
          <w:spacing w:val="10"/>
          <w:sz w:val="26"/>
          <w:szCs w:val="26"/>
        </w:rPr>
      </w:pPr>
      <w:r w:rsidRPr="00DE711D">
        <w:rPr>
          <w:color w:val="000000"/>
          <w:spacing w:val="10"/>
          <w:sz w:val="26"/>
          <w:szCs w:val="26"/>
          <w:shd w:val="clear" w:color="auto" w:fill="FFFFFF"/>
        </w:rPr>
        <w:t xml:space="preserve">Arthur </w:t>
      </w:r>
      <w:proofErr w:type="spellStart"/>
      <w:r w:rsidRPr="00DE711D">
        <w:rPr>
          <w:color w:val="000000"/>
          <w:spacing w:val="10"/>
          <w:sz w:val="26"/>
          <w:szCs w:val="26"/>
          <w:shd w:val="clear" w:color="auto" w:fill="FFFFFF"/>
        </w:rPr>
        <w:t>Luis</w:t>
      </w:r>
      <w:proofErr w:type="spellEnd"/>
      <w:r w:rsidRPr="00DE711D">
        <w:rPr>
          <w:color w:val="000000"/>
          <w:spacing w:val="10"/>
          <w:sz w:val="26"/>
          <w:szCs w:val="26"/>
          <w:shd w:val="clear" w:color="auto" w:fill="FFFFFF"/>
        </w:rPr>
        <w:t xml:space="preserve"> Pinho de Lima </w:t>
      </w:r>
    </w:p>
    <w:p w14:paraId="5017B4D1" w14:textId="77777777" w:rsidR="00B1430F" w:rsidRPr="00DE711D" w:rsidRDefault="00C141C8" w:rsidP="00973735">
      <w:pPr>
        <w:pStyle w:val="NormalWeb"/>
        <w:spacing w:before="0" w:beforeAutospacing="0" w:after="0" w:afterAutospacing="0"/>
        <w:ind w:right="-1"/>
        <w:jc w:val="both"/>
        <w:rPr>
          <w:spacing w:val="10"/>
          <w:sz w:val="26"/>
          <w:szCs w:val="26"/>
        </w:rPr>
      </w:pPr>
      <w:r w:rsidRPr="00DE711D">
        <w:rPr>
          <w:color w:val="000000"/>
          <w:spacing w:val="10"/>
          <w:sz w:val="26"/>
          <w:szCs w:val="26"/>
          <w:shd w:val="clear" w:color="auto" w:fill="FFFFFF"/>
        </w:rPr>
        <w:t>Secretário-Chefe da Casa Civil</w:t>
      </w:r>
    </w:p>
    <w:sectPr w:rsidR="00B1430F" w:rsidRPr="00DE7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C8"/>
    <w:rsid w:val="0025448E"/>
    <w:rsid w:val="00973735"/>
    <w:rsid w:val="00AD136E"/>
    <w:rsid w:val="00B1430F"/>
    <w:rsid w:val="00C141C8"/>
    <w:rsid w:val="00DE711D"/>
    <w:rsid w:val="00E155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5E77"/>
  <w15:chartTrackingRefBased/>
  <w15:docId w15:val="{93DC74B4-BF3C-47FD-B3B8-58EB9E12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14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14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141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141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141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141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141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141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141C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41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141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141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141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141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141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141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141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141C8"/>
    <w:rPr>
      <w:rFonts w:eastAsiaTheme="majorEastAsia" w:cstheme="majorBidi"/>
      <w:color w:val="272727" w:themeColor="text1" w:themeTint="D8"/>
    </w:rPr>
  </w:style>
  <w:style w:type="paragraph" w:styleId="Ttulo">
    <w:name w:val="Title"/>
    <w:basedOn w:val="Normal"/>
    <w:next w:val="Normal"/>
    <w:link w:val="TtuloChar"/>
    <w:uiPriority w:val="10"/>
    <w:qFormat/>
    <w:rsid w:val="00C14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141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141C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141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141C8"/>
    <w:pPr>
      <w:spacing w:before="160"/>
      <w:jc w:val="center"/>
    </w:pPr>
    <w:rPr>
      <w:i/>
      <w:iCs/>
      <w:color w:val="404040" w:themeColor="text1" w:themeTint="BF"/>
    </w:rPr>
  </w:style>
  <w:style w:type="character" w:customStyle="1" w:styleId="CitaoChar">
    <w:name w:val="Citação Char"/>
    <w:basedOn w:val="Fontepargpadro"/>
    <w:link w:val="Citao"/>
    <w:uiPriority w:val="29"/>
    <w:rsid w:val="00C141C8"/>
    <w:rPr>
      <w:i/>
      <w:iCs/>
      <w:color w:val="404040" w:themeColor="text1" w:themeTint="BF"/>
    </w:rPr>
  </w:style>
  <w:style w:type="paragraph" w:styleId="PargrafodaLista">
    <w:name w:val="List Paragraph"/>
    <w:basedOn w:val="Normal"/>
    <w:uiPriority w:val="34"/>
    <w:qFormat/>
    <w:rsid w:val="00C141C8"/>
    <w:pPr>
      <w:ind w:left="720"/>
      <w:contextualSpacing/>
    </w:pPr>
  </w:style>
  <w:style w:type="character" w:styleId="nfaseIntensa">
    <w:name w:val="Intense Emphasis"/>
    <w:basedOn w:val="Fontepargpadro"/>
    <w:uiPriority w:val="21"/>
    <w:qFormat/>
    <w:rsid w:val="00C141C8"/>
    <w:rPr>
      <w:i/>
      <w:iCs/>
      <w:color w:val="0F4761" w:themeColor="accent1" w:themeShade="BF"/>
    </w:rPr>
  </w:style>
  <w:style w:type="paragraph" w:styleId="CitaoIntensa">
    <w:name w:val="Intense Quote"/>
    <w:basedOn w:val="Normal"/>
    <w:next w:val="Normal"/>
    <w:link w:val="CitaoIntensaChar"/>
    <w:uiPriority w:val="30"/>
    <w:qFormat/>
    <w:rsid w:val="00C14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141C8"/>
    <w:rPr>
      <w:i/>
      <w:iCs/>
      <w:color w:val="0F4761" w:themeColor="accent1" w:themeShade="BF"/>
    </w:rPr>
  </w:style>
  <w:style w:type="character" w:styleId="RefernciaIntensa">
    <w:name w:val="Intense Reference"/>
    <w:basedOn w:val="Fontepargpadro"/>
    <w:uiPriority w:val="32"/>
    <w:qFormat/>
    <w:rsid w:val="00C141C8"/>
    <w:rPr>
      <w:b/>
      <w:bCs/>
      <w:smallCaps/>
      <w:color w:val="0F4761" w:themeColor="accent1" w:themeShade="BF"/>
      <w:spacing w:val="5"/>
    </w:rPr>
  </w:style>
  <w:style w:type="paragraph" w:customStyle="1" w:styleId="textocentralizado">
    <w:name w:val="texto_centralizado"/>
    <w:basedOn w:val="Normal"/>
    <w:rsid w:val="00C141C8"/>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C141C8"/>
    <w:rPr>
      <w:b/>
      <w:bCs/>
    </w:rPr>
  </w:style>
  <w:style w:type="paragraph" w:styleId="NormalWeb">
    <w:name w:val="Normal (Web)"/>
    <w:basedOn w:val="Normal"/>
    <w:uiPriority w:val="99"/>
    <w:unhideWhenUsed/>
    <w:rsid w:val="00C141C8"/>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93377">
      <w:bodyDiv w:val="1"/>
      <w:marLeft w:val="0"/>
      <w:marRight w:val="0"/>
      <w:marTop w:val="0"/>
      <w:marBottom w:val="0"/>
      <w:divBdr>
        <w:top w:val="none" w:sz="0" w:space="0" w:color="auto"/>
        <w:left w:val="none" w:sz="0" w:space="0" w:color="auto"/>
        <w:bottom w:val="none" w:sz="0" w:space="0" w:color="auto"/>
        <w:right w:val="none" w:sz="0" w:space="0" w:color="auto"/>
      </w:divBdr>
      <w:divsChild>
        <w:div w:id="104690928">
          <w:marLeft w:val="0"/>
          <w:marRight w:val="0"/>
          <w:marTop w:val="0"/>
          <w:marBottom w:val="0"/>
          <w:divBdr>
            <w:top w:val="none" w:sz="0" w:space="0" w:color="auto"/>
            <w:left w:val="none" w:sz="0" w:space="0" w:color="auto"/>
            <w:bottom w:val="none" w:sz="0" w:space="0" w:color="auto"/>
            <w:right w:val="none" w:sz="0" w:space="0" w:color="auto"/>
          </w:divBdr>
        </w:div>
        <w:div w:id="946695895">
          <w:marLeft w:val="0"/>
          <w:marRight w:val="0"/>
          <w:marTop w:val="0"/>
          <w:marBottom w:val="0"/>
          <w:divBdr>
            <w:top w:val="none" w:sz="0" w:space="0" w:color="auto"/>
            <w:left w:val="none" w:sz="0" w:space="0" w:color="auto"/>
            <w:bottom w:val="none" w:sz="0" w:space="0" w:color="auto"/>
            <w:right w:val="none" w:sz="0" w:space="0" w:color="auto"/>
          </w:divBdr>
        </w:div>
        <w:div w:id="1525165673">
          <w:marLeft w:val="0"/>
          <w:marRight w:val="0"/>
          <w:marTop w:val="0"/>
          <w:marBottom w:val="0"/>
          <w:divBdr>
            <w:top w:val="none" w:sz="0" w:space="0" w:color="auto"/>
            <w:left w:val="none" w:sz="0" w:space="0" w:color="auto"/>
            <w:bottom w:val="none" w:sz="0" w:space="0" w:color="auto"/>
            <w:right w:val="none" w:sz="0" w:space="0" w:color="auto"/>
          </w:divBdr>
        </w:div>
        <w:div w:id="226189586">
          <w:marLeft w:val="0"/>
          <w:marRight w:val="0"/>
          <w:marTop w:val="0"/>
          <w:marBottom w:val="0"/>
          <w:divBdr>
            <w:top w:val="none" w:sz="0" w:space="0" w:color="auto"/>
            <w:left w:val="none" w:sz="0" w:space="0" w:color="auto"/>
            <w:bottom w:val="none" w:sz="0" w:space="0" w:color="auto"/>
            <w:right w:val="none" w:sz="0" w:space="0" w:color="auto"/>
          </w:divBdr>
        </w:div>
        <w:div w:id="419185192">
          <w:marLeft w:val="0"/>
          <w:marRight w:val="0"/>
          <w:marTop w:val="0"/>
          <w:marBottom w:val="0"/>
          <w:divBdr>
            <w:top w:val="none" w:sz="0" w:space="0" w:color="auto"/>
            <w:left w:val="none" w:sz="0" w:space="0" w:color="auto"/>
            <w:bottom w:val="none" w:sz="0" w:space="0" w:color="auto"/>
            <w:right w:val="none" w:sz="0" w:space="0" w:color="auto"/>
          </w:divBdr>
        </w:div>
        <w:div w:id="480002048">
          <w:marLeft w:val="0"/>
          <w:marRight w:val="0"/>
          <w:marTop w:val="0"/>
          <w:marBottom w:val="0"/>
          <w:divBdr>
            <w:top w:val="none" w:sz="0" w:space="0" w:color="auto"/>
            <w:left w:val="none" w:sz="0" w:space="0" w:color="auto"/>
            <w:bottom w:val="none" w:sz="0" w:space="0" w:color="auto"/>
            <w:right w:val="none" w:sz="0" w:space="0" w:color="auto"/>
          </w:divBdr>
        </w:div>
        <w:div w:id="1765883251">
          <w:marLeft w:val="0"/>
          <w:marRight w:val="0"/>
          <w:marTop w:val="0"/>
          <w:marBottom w:val="0"/>
          <w:divBdr>
            <w:top w:val="none" w:sz="0" w:space="0" w:color="auto"/>
            <w:left w:val="none" w:sz="0" w:space="0" w:color="auto"/>
            <w:bottom w:val="none" w:sz="0" w:space="0" w:color="auto"/>
            <w:right w:val="none" w:sz="0" w:space="0" w:color="auto"/>
          </w:divBdr>
        </w:div>
        <w:div w:id="253978001">
          <w:marLeft w:val="0"/>
          <w:marRight w:val="0"/>
          <w:marTop w:val="0"/>
          <w:marBottom w:val="0"/>
          <w:divBdr>
            <w:top w:val="none" w:sz="0" w:space="0" w:color="auto"/>
            <w:left w:val="none" w:sz="0" w:space="0" w:color="auto"/>
            <w:bottom w:val="none" w:sz="0" w:space="0" w:color="auto"/>
            <w:right w:val="none" w:sz="0" w:space="0" w:color="auto"/>
          </w:divBdr>
        </w:div>
        <w:div w:id="400103318">
          <w:marLeft w:val="0"/>
          <w:marRight w:val="0"/>
          <w:marTop w:val="0"/>
          <w:marBottom w:val="0"/>
          <w:divBdr>
            <w:top w:val="none" w:sz="0" w:space="0" w:color="auto"/>
            <w:left w:val="none" w:sz="0" w:space="0" w:color="auto"/>
            <w:bottom w:val="none" w:sz="0" w:space="0" w:color="auto"/>
            <w:right w:val="none" w:sz="0" w:space="0" w:color="auto"/>
          </w:divBdr>
        </w:div>
        <w:div w:id="1990404208">
          <w:marLeft w:val="0"/>
          <w:marRight w:val="0"/>
          <w:marTop w:val="0"/>
          <w:marBottom w:val="0"/>
          <w:divBdr>
            <w:top w:val="none" w:sz="0" w:space="0" w:color="auto"/>
            <w:left w:val="none" w:sz="0" w:space="0" w:color="auto"/>
            <w:bottom w:val="none" w:sz="0" w:space="0" w:color="auto"/>
            <w:right w:val="none" w:sz="0" w:space="0" w:color="auto"/>
          </w:divBdr>
        </w:div>
        <w:div w:id="1619606683">
          <w:marLeft w:val="0"/>
          <w:marRight w:val="0"/>
          <w:marTop w:val="0"/>
          <w:marBottom w:val="0"/>
          <w:divBdr>
            <w:top w:val="none" w:sz="0" w:space="0" w:color="auto"/>
            <w:left w:val="none" w:sz="0" w:space="0" w:color="auto"/>
            <w:bottom w:val="none" w:sz="0" w:space="0" w:color="auto"/>
            <w:right w:val="none" w:sz="0" w:space="0" w:color="auto"/>
          </w:divBdr>
        </w:div>
        <w:div w:id="828405205">
          <w:marLeft w:val="0"/>
          <w:marRight w:val="0"/>
          <w:marTop w:val="0"/>
          <w:marBottom w:val="0"/>
          <w:divBdr>
            <w:top w:val="none" w:sz="0" w:space="0" w:color="auto"/>
            <w:left w:val="none" w:sz="0" w:space="0" w:color="auto"/>
            <w:bottom w:val="none" w:sz="0" w:space="0" w:color="auto"/>
            <w:right w:val="none" w:sz="0" w:space="0" w:color="auto"/>
          </w:divBdr>
        </w:div>
        <w:div w:id="190074000">
          <w:marLeft w:val="0"/>
          <w:marRight w:val="0"/>
          <w:marTop w:val="0"/>
          <w:marBottom w:val="0"/>
          <w:divBdr>
            <w:top w:val="none" w:sz="0" w:space="0" w:color="auto"/>
            <w:left w:val="none" w:sz="0" w:space="0" w:color="auto"/>
            <w:bottom w:val="none" w:sz="0" w:space="0" w:color="auto"/>
            <w:right w:val="none" w:sz="0" w:space="0" w:color="auto"/>
          </w:divBdr>
        </w:div>
        <w:div w:id="1624850592">
          <w:marLeft w:val="0"/>
          <w:marRight w:val="0"/>
          <w:marTop w:val="0"/>
          <w:marBottom w:val="0"/>
          <w:divBdr>
            <w:top w:val="none" w:sz="0" w:space="0" w:color="auto"/>
            <w:left w:val="none" w:sz="0" w:space="0" w:color="auto"/>
            <w:bottom w:val="none" w:sz="0" w:space="0" w:color="auto"/>
            <w:right w:val="none" w:sz="0" w:space="0" w:color="auto"/>
          </w:divBdr>
        </w:div>
        <w:div w:id="1172136826">
          <w:marLeft w:val="0"/>
          <w:marRight w:val="0"/>
          <w:marTop w:val="0"/>
          <w:marBottom w:val="0"/>
          <w:divBdr>
            <w:top w:val="none" w:sz="0" w:space="0" w:color="auto"/>
            <w:left w:val="none" w:sz="0" w:space="0" w:color="auto"/>
            <w:bottom w:val="none" w:sz="0" w:space="0" w:color="auto"/>
            <w:right w:val="none" w:sz="0" w:space="0" w:color="auto"/>
          </w:divBdr>
        </w:div>
        <w:div w:id="1521578924">
          <w:marLeft w:val="0"/>
          <w:marRight w:val="0"/>
          <w:marTop w:val="0"/>
          <w:marBottom w:val="0"/>
          <w:divBdr>
            <w:top w:val="none" w:sz="0" w:space="0" w:color="auto"/>
            <w:left w:val="none" w:sz="0" w:space="0" w:color="auto"/>
            <w:bottom w:val="none" w:sz="0" w:space="0" w:color="auto"/>
            <w:right w:val="none" w:sz="0" w:space="0" w:color="auto"/>
          </w:divBdr>
        </w:div>
        <w:div w:id="681400586">
          <w:marLeft w:val="0"/>
          <w:marRight w:val="0"/>
          <w:marTop w:val="0"/>
          <w:marBottom w:val="0"/>
          <w:divBdr>
            <w:top w:val="none" w:sz="0" w:space="0" w:color="auto"/>
            <w:left w:val="none" w:sz="0" w:space="0" w:color="auto"/>
            <w:bottom w:val="none" w:sz="0" w:space="0" w:color="auto"/>
            <w:right w:val="none" w:sz="0" w:space="0" w:color="auto"/>
          </w:divBdr>
        </w:div>
        <w:div w:id="1941982429">
          <w:marLeft w:val="0"/>
          <w:marRight w:val="0"/>
          <w:marTop w:val="0"/>
          <w:marBottom w:val="0"/>
          <w:divBdr>
            <w:top w:val="none" w:sz="0" w:space="0" w:color="auto"/>
            <w:left w:val="none" w:sz="0" w:space="0" w:color="auto"/>
            <w:bottom w:val="none" w:sz="0" w:space="0" w:color="auto"/>
            <w:right w:val="none" w:sz="0" w:space="0" w:color="auto"/>
          </w:divBdr>
        </w:div>
        <w:div w:id="1308901909">
          <w:marLeft w:val="0"/>
          <w:marRight w:val="0"/>
          <w:marTop w:val="0"/>
          <w:marBottom w:val="0"/>
          <w:divBdr>
            <w:top w:val="none" w:sz="0" w:space="0" w:color="auto"/>
            <w:left w:val="none" w:sz="0" w:space="0" w:color="auto"/>
            <w:bottom w:val="none" w:sz="0" w:space="0" w:color="auto"/>
            <w:right w:val="none" w:sz="0" w:space="0" w:color="auto"/>
          </w:divBdr>
        </w:div>
        <w:div w:id="905652408">
          <w:marLeft w:val="0"/>
          <w:marRight w:val="0"/>
          <w:marTop w:val="0"/>
          <w:marBottom w:val="0"/>
          <w:divBdr>
            <w:top w:val="none" w:sz="0" w:space="0" w:color="auto"/>
            <w:left w:val="none" w:sz="0" w:space="0" w:color="auto"/>
            <w:bottom w:val="none" w:sz="0" w:space="0" w:color="auto"/>
            <w:right w:val="none" w:sz="0" w:space="0" w:color="auto"/>
          </w:divBdr>
        </w:div>
        <w:div w:id="806901152">
          <w:marLeft w:val="0"/>
          <w:marRight w:val="0"/>
          <w:marTop w:val="0"/>
          <w:marBottom w:val="0"/>
          <w:divBdr>
            <w:top w:val="none" w:sz="0" w:space="0" w:color="auto"/>
            <w:left w:val="none" w:sz="0" w:space="0" w:color="auto"/>
            <w:bottom w:val="none" w:sz="0" w:space="0" w:color="auto"/>
            <w:right w:val="none" w:sz="0" w:space="0" w:color="auto"/>
          </w:divBdr>
        </w:div>
        <w:div w:id="2126001682">
          <w:marLeft w:val="0"/>
          <w:marRight w:val="0"/>
          <w:marTop w:val="0"/>
          <w:marBottom w:val="0"/>
          <w:divBdr>
            <w:top w:val="none" w:sz="0" w:space="0" w:color="auto"/>
            <w:left w:val="none" w:sz="0" w:space="0" w:color="auto"/>
            <w:bottom w:val="none" w:sz="0" w:space="0" w:color="auto"/>
            <w:right w:val="none" w:sz="0" w:space="0" w:color="auto"/>
          </w:divBdr>
        </w:div>
        <w:div w:id="2052024757">
          <w:marLeft w:val="0"/>
          <w:marRight w:val="0"/>
          <w:marTop w:val="0"/>
          <w:marBottom w:val="0"/>
          <w:divBdr>
            <w:top w:val="none" w:sz="0" w:space="0" w:color="auto"/>
            <w:left w:val="none" w:sz="0" w:space="0" w:color="auto"/>
            <w:bottom w:val="none" w:sz="0" w:space="0" w:color="auto"/>
            <w:right w:val="none" w:sz="0" w:space="0" w:color="auto"/>
          </w:divBdr>
        </w:div>
        <w:div w:id="1835604873">
          <w:marLeft w:val="0"/>
          <w:marRight w:val="0"/>
          <w:marTop w:val="0"/>
          <w:marBottom w:val="0"/>
          <w:divBdr>
            <w:top w:val="none" w:sz="0" w:space="0" w:color="auto"/>
            <w:left w:val="none" w:sz="0" w:space="0" w:color="auto"/>
            <w:bottom w:val="none" w:sz="0" w:space="0" w:color="auto"/>
            <w:right w:val="none" w:sz="0" w:space="0" w:color="auto"/>
          </w:divBdr>
        </w:div>
        <w:div w:id="1601453915">
          <w:marLeft w:val="0"/>
          <w:marRight w:val="0"/>
          <w:marTop w:val="0"/>
          <w:marBottom w:val="0"/>
          <w:divBdr>
            <w:top w:val="none" w:sz="0" w:space="0" w:color="auto"/>
            <w:left w:val="none" w:sz="0" w:space="0" w:color="auto"/>
            <w:bottom w:val="none" w:sz="0" w:space="0" w:color="auto"/>
            <w:right w:val="none" w:sz="0" w:space="0" w:color="auto"/>
          </w:divBdr>
        </w:div>
        <w:div w:id="813528206">
          <w:marLeft w:val="0"/>
          <w:marRight w:val="0"/>
          <w:marTop w:val="0"/>
          <w:marBottom w:val="0"/>
          <w:divBdr>
            <w:top w:val="none" w:sz="0" w:space="0" w:color="auto"/>
            <w:left w:val="none" w:sz="0" w:space="0" w:color="auto"/>
            <w:bottom w:val="none" w:sz="0" w:space="0" w:color="auto"/>
            <w:right w:val="none" w:sz="0" w:space="0" w:color="auto"/>
          </w:divBdr>
        </w:div>
        <w:div w:id="140654839">
          <w:marLeft w:val="0"/>
          <w:marRight w:val="0"/>
          <w:marTop w:val="0"/>
          <w:marBottom w:val="0"/>
          <w:divBdr>
            <w:top w:val="none" w:sz="0" w:space="0" w:color="auto"/>
            <w:left w:val="none" w:sz="0" w:space="0" w:color="auto"/>
            <w:bottom w:val="none" w:sz="0" w:space="0" w:color="auto"/>
            <w:right w:val="none" w:sz="0" w:space="0" w:color="auto"/>
          </w:divBdr>
        </w:div>
        <w:div w:id="44304905">
          <w:marLeft w:val="0"/>
          <w:marRight w:val="0"/>
          <w:marTop w:val="0"/>
          <w:marBottom w:val="0"/>
          <w:divBdr>
            <w:top w:val="none" w:sz="0" w:space="0" w:color="auto"/>
            <w:left w:val="none" w:sz="0" w:space="0" w:color="auto"/>
            <w:bottom w:val="none" w:sz="0" w:space="0" w:color="auto"/>
            <w:right w:val="none" w:sz="0" w:space="0" w:color="auto"/>
          </w:divBdr>
        </w:div>
        <w:div w:id="125509877">
          <w:marLeft w:val="0"/>
          <w:marRight w:val="0"/>
          <w:marTop w:val="0"/>
          <w:marBottom w:val="0"/>
          <w:divBdr>
            <w:top w:val="none" w:sz="0" w:space="0" w:color="auto"/>
            <w:left w:val="none" w:sz="0" w:space="0" w:color="auto"/>
            <w:bottom w:val="none" w:sz="0" w:space="0" w:color="auto"/>
            <w:right w:val="none" w:sz="0" w:space="0" w:color="auto"/>
          </w:divBdr>
        </w:div>
        <w:div w:id="1645741483">
          <w:marLeft w:val="0"/>
          <w:marRight w:val="0"/>
          <w:marTop w:val="0"/>
          <w:marBottom w:val="0"/>
          <w:divBdr>
            <w:top w:val="none" w:sz="0" w:space="0" w:color="auto"/>
            <w:left w:val="none" w:sz="0" w:space="0" w:color="auto"/>
            <w:bottom w:val="none" w:sz="0" w:space="0" w:color="auto"/>
            <w:right w:val="none" w:sz="0" w:space="0" w:color="auto"/>
          </w:divBdr>
        </w:div>
        <w:div w:id="1928809487">
          <w:marLeft w:val="0"/>
          <w:marRight w:val="0"/>
          <w:marTop w:val="0"/>
          <w:marBottom w:val="0"/>
          <w:divBdr>
            <w:top w:val="none" w:sz="0" w:space="0" w:color="auto"/>
            <w:left w:val="none" w:sz="0" w:space="0" w:color="auto"/>
            <w:bottom w:val="none" w:sz="0" w:space="0" w:color="auto"/>
            <w:right w:val="none" w:sz="0" w:space="0" w:color="auto"/>
          </w:divBdr>
        </w:div>
        <w:div w:id="2025861174">
          <w:marLeft w:val="0"/>
          <w:marRight w:val="0"/>
          <w:marTop w:val="0"/>
          <w:marBottom w:val="0"/>
          <w:divBdr>
            <w:top w:val="none" w:sz="0" w:space="0" w:color="auto"/>
            <w:left w:val="none" w:sz="0" w:space="0" w:color="auto"/>
            <w:bottom w:val="none" w:sz="0" w:space="0" w:color="auto"/>
            <w:right w:val="none" w:sz="0" w:space="0" w:color="auto"/>
          </w:divBdr>
        </w:div>
        <w:div w:id="708145413">
          <w:marLeft w:val="0"/>
          <w:marRight w:val="0"/>
          <w:marTop w:val="0"/>
          <w:marBottom w:val="0"/>
          <w:divBdr>
            <w:top w:val="none" w:sz="0" w:space="0" w:color="auto"/>
            <w:left w:val="none" w:sz="0" w:space="0" w:color="auto"/>
            <w:bottom w:val="none" w:sz="0" w:space="0" w:color="auto"/>
            <w:right w:val="none" w:sz="0" w:space="0" w:color="auto"/>
          </w:divBdr>
        </w:div>
        <w:div w:id="161436277">
          <w:marLeft w:val="0"/>
          <w:marRight w:val="0"/>
          <w:marTop w:val="0"/>
          <w:marBottom w:val="0"/>
          <w:divBdr>
            <w:top w:val="none" w:sz="0" w:space="0" w:color="auto"/>
            <w:left w:val="none" w:sz="0" w:space="0" w:color="auto"/>
            <w:bottom w:val="none" w:sz="0" w:space="0" w:color="auto"/>
            <w:right w:val="none" w:sz="0" w:space="0" w:color="auto"/>
          </w:divBdr>
        </w:div>
        <w:div w:id="1618484661">
          <w:marLeft w:val="0"/>
          <w:marRight w:val="0"/>
          <w:marTop w:val="0"/>
          <w:marBottom w:val="0"/>
          <w:divBdr>
            <w:top w:val="none" w:sz="0" w:space="0" w:color="auto"/>
            <w:left w:val="none" w:sz="0" w:space="0" w:color="auto"/>
            <w:bottom w:val="none" w:sz="0" w:space="0" w:color="auto"/>
            <w:right w:val="none" w:sz="0" w:space="0" w:color="auto"/>
          </w:divBdr>
        </w:div>
        <w:div w:id="1018313034">
          <w:marLeft w:val="0"/>
          <w:marRight w:val="0"/>
          <w:marTop w:val="0"/>
          <w:marBottom w:val="0"/>
          <w:divBdr>
            <w:top w:val="none" w:sz="0" w:space="0" w:color="auto"/>
            <w:left w:val="none" w:sz="0" w:space="0" w:color="auto"/>
            <w:bottom w:val="none" w:sz="0" w:space="0" w:color="auto"/>
            <w:right w:val="none" w:sz="0" w:space="0" w:color="auto"/>
          </w:divBdr>
        </w:div>
        <w:div w:id="1636061247">
          <w:marLeft w:val="0"/>
          <w:marRight w:val="0"/>
          <w:marTop w:val="0"/>
          <w:marBottom w:val="0"/>
          <w:divBdr>
            <w:top w:val="none" w:sz="0" w:space="0" w:color="auto"/>
            <w:left w:val="none" w:sz="0" w:space="0" w:color="auto"/>
            <w:bottom w:val="none" w:sz="0" w:space="0" w:color="auto"/>
            <w:right w:val="none" w:sz="0" w:space="0" w:color="auto"/>
          </w:divBdr>
        </w:div>
        <w:div w:id="322585822">
          <w:marLeft w:val="0"/>
          <w:marRight w:val="0"/>
          <w:marTop w:val="0"/>
          <w:marBottom w:val="0"/>
          <w:divBdr>
            <w:top w:val="none" w:sz="0" w:space="0" w:color="auto"/>
            <w:left w:val="none" w:sz="0" w:space="0" w:color="auto"/>
            <w:bottom w:val="none" w:sz="0" w:space="0" w:color="auto"/>
            <w:right w:val="none" w:sz="0" w:space="0" w:color="auto"/>
          </w:divBdr>
        </w:div>
        <w:div w:id="271940578">
          <w:marLeft w:val="0"/>
          <w:marRight w:val="0"/>
          <w:marTop w:val="0"/>
          <w:marBottom w:val="0"/>
          <w:divBdr>
            <w:top w:val="none" w:sz="0" w:space="0" w:color="auto"/>
            <w:left w:val="none" w:sz="0" w:space="0" w:color="auto"/>
            <w:bottom w:val="none" w:sz="0" w:space="0" w:color="auto"/>
            <w:right w:val="none" w:sz="0" w:space="0" w:color="auto"/>
          </w:divBdr>
        </w:div>
        <w:div w:id="742483753">
          <w:marLeft w:val="0"/>
          <w:marRight w:val="0"/>
          <w:marTop w:val="0"/>
          <w:marBottom w:val="0"/>
          <w:divBdr>
            <w:top w:val="none" w:sz="0" w:space="0" w:color="auto"/>
            <w:left w:val="none" w:sz="0" w:space="0" w:color="auto"/>
            <w:bottom w:val="none" w:sz="0" w:space="0" w:color="auto"/>
            <w:right w:val="none" w:sz="0" w:space="0" w:color="auto"/>
          </w:divBdr>
        </w:div>
        <w:div w:id="792023666">
          <w:marLeft w:val="0"/>
          <w:marRight w:val="0"/>
          <w:marTop w:val="0"/>
          <w:marBottom w:val="0"/>
          <w:divBdr>
            <w:top w:val="none" w:sz="0" w:space="0" w:color="auto"/>
            <w:left w:val="none" w:sz="0" w:space="0" w:color="auto"/>
            <w:bottom w:val="none" w:sz="0" w:space="0" w:color="auto"/>
            <w:right w:val="none" w:sz="0" w:space="0" w:color="auto"/>
          </w:divBdr>
        </w:div>
        <w:div w:id="149176426">
          <w:marLeft w:val="0"/>
          <w:marRight w:val="0"/>
          <w:marTop w:val="0"/>
          <w:marBottom w:val="0"/>
          <w:divBdr>
            <w:top w:val="none" w:sz="0" w:space="0" w:color="auto"/>
            <w:left w:val="none" w:sz="0" w:space="0" w:color="auto"/>
            <w:bottom w:val="none" w:sz="0" w:space="0" w:color="auto"/>
            <w:right w:val="none" w:sz="0" w:space="0" w:color="auto"/>
          </w:divBdr>
        </w:div>
        <w:div w:id="745298649">
          <w:marLeft w:val="0"/>
          <w:marRight w:val="0"/>
          <w:marTop w:val="0"/>
          <w:marBottom w:val="0"/>
          <w:divBdr>
            <w:top w:val="none" w:sz="0" w:space="0" w:color="auto"/>
            <w:left w:val="none" w:sz="0" w:space="0" w:color="auto"/>
            <w:bottom w:val="none" w:sz="0" w:space="0" w:color="auto"/>
            <w:right w:val="none" w:sz="0" w:space="0" w:color="auto"/>
          </w:divBdr>
        </w:div>
        <w:div w:id="1537309652">
          <w:marLeft w:val="0"/>
          <w:marRight w:val="0"/>
          <w:marTop w:val="0"/>
          <w:marBottom w:val="0"/>
          <w:divBdr>
            <w:top w:val="none" w:sz="0" w:space="0" w:color="auto"/>
            <w:left w:val="none" w:sz="0" w:space="0" w:color="auto"/>
            <w:bottom w:val="none" w:sz="0" w:space="0" w:color="auto"/>
            <w:right w:val="none" w:sz="0" w:space="0" w:color="auto"/>
          </w:divBdr>
        </w:div>
        <w:div w:id="517891102">
          <w:marLeft w:val="0"/>
          <w:marRight w:val="0"/>
          <w:marTop w:val="0"/>
          <w:marBottom w:val="0"/>
          <w:divBdr>
            <w:top w:val="none" w:sz="0" w:space="0" w:color="auto"/>
            <w:left w:val="none" w:sz="0" w:space="0" w:color="auto"/>
            <w:bottom w:val="none" w:sz="0" w:space="0" w:color="auto"/>
            <w:right w:val="none" w:sz="0" w:space="0" w:color="auto"/>
          </w:divBdr>
        </w:div>
        <w:div w:id="159741574">
          <w:marLeft w:val="0"/>
          <w:marRight w:val="0"/>
          <w:marTop w:val="0"/>
          <w:marBottom w:val="0"/>
          <w:divBdr>
            <w:top w:val="none" w:sz="0" w:space="0" w:color="auto"/>
            <w:left w:val="none" w:sz="0" w:space="0" w:color="auto"/>
            <w:bottom w:val="none" w:sz="0" w:space="0" w:color="auto"/>
            <w:right w:val="none" w:sz="0" w:space="0" w:color="auto"/>
          </w:divBdr>
        </w:div>
        <w:div w:id="459612300">
          <w:marLeft w:val="0"/>
          <w:marRight w:val="0"/>
          <w:marTop w:val="0"/>
          <w:marBottom w:val="0"/>
          <w:divBdr>
            <w:top w:val="none" w:sz="0" w:space="0" w:color="auto"/>
            <w:left w:val="none" w:sz="0" w:space="0" w:color="auto"/>
            <w:bottom w:val="none" w:sz="0" w:space="0" w:color="auto"/>
            <w:right w:val="none" w:sz="0" w:space="0" w:color="auto"/>
          </w:divBdr>
        </w:div>
        <w:div w:id="624626794">
          <w:marLeft w:val="0"/>
          <w:marRight w:val="0"/>
          <w:marTop w:val="0"/>
          <w:marBottom w:val="0"/>
          <w:divBdr>
            <w:top w:val="none" w:sz="0" w:space="0" w:color="auto"/>
            <w:left w:val="none" w:sz="0" w:space="0" w:color="auto"/>
            <w:bottom w:val="none" w:sz="0" w:space="0" w:color="auto"/>
            <w:right w:val="none" w:sz="0" w:space="0" w:color="auto"/>
          </w:divBdr>
        </w:div>
        <w:div w:id="1435859186">
          <w:marLeft w:val="0"/>
          <w:marRight w:val="0"/>
          <w:marTop w:val="0"/>
          <w:marBottom w:val="0"/>
          <w:divBdr>
            <w:top w:val="none" w:sz="0" w:space="0" w:color="auto"/>
            <w:left w:val="none" w:sz="0" w:space="0" w:color="auto"/>
            <w:bottom w:val="none" w:sz="0" w:space="0" w:color="auto"/>
            <w:right w:val="none" w:sz="0" w:space="0" w:color="auto"/>
          </w:divBdr>
        </w:div>
        <w:div w:id="309795933">
          <w:marLeft w:val="0"/>
          <w:marRight w:val="0"/>
          <w:marTop w:val="0"/>
          <w:marBottom w:val="0"/>
          <w:divBdr>
            <w:top w:val="none" w:sz="0" w:space="0" w:color="auto"/>
            <w:left w:val="none" w:sz="0" w:space="0" w:color="auto"/>
            <w:bottom w:val="none" w:sz="0" w:space="0" w:color="auto"/>
            <w:right w:val="none" w:sz="0" w:space="0" w:color="auto"/>
          </w:divBdr>
        </w:div>
        <w:div w:id="725615648">
          <w:marLeft w:val="0"/>
          <w:marRight w:val="0"/>
          <w:marTop w:val="0"/>
          <w:marBottom w:val="0"/>
          <w:divBdr>
            <w:top w:val="none" w:sz="0" w:space="0" w:color="auto"/>
            <w:left w:val="none" w:sz="0" w:space="0" w:color="auto"/>
            <w:bottom w:val="none" w:sz="0" w:space="0" w:color="auto"/>
            <w:right w:val="none" w:sz="0" w:space="0" w:color="auto"/>
          </w:divBdr>
        </w:div>
        <w:div w:id="1362514937">
          <w:marLeft w:val="0"/>
          <w:marRight w:val="0"/>
          <w:marTop w:val="0"/>
          <w:marBottom w:val="0"/>
          <w:divBdr>
            <w:top w:val="none" w:sz="0" w:space="0" w:color="auto"/>
            <w:left w:val="none" w:sz="0" w:space="0" w:color="auto"/>
            <w:bottom w:val="none" w:sz="0" w:space="0" w:color="auto"/>
            <w:right w:val="none" w:sz="0" w:space="0" w:color="auto"/>
          </w:divBdr>
        </w:div>
        <w:div w:id="452872597">
          <w:marLeft w:val="0"/>
          <w:marRight w:val="0"/>
          <w:marTop w:val="0"/>
          <w:marBottom w:val="0"/>
          <w:divBdr>
            <w:top w:val="none" w:sz="0" w:space="0" w:color="auto"/>
            <w:left w:val="none" w:sz="0" w:space="0" w:color="auto"/>
            <w:bottom w:val="none" w:sz="0" w:space="0" w:color="auto"/>
            <w:right w:val="none" w:sz="0" w:space="0" w:color="auto"/>
          </w:divBdr>
        </w:div>
        <w:div w:id="49379633">
          <w:marLeft w:val="0"/>
          <w:marRight w:val="0"/>
          <w:marTop w:val="0"/>
          <w:marBottom w:val="0"/>
          <w:divBdr>
            <w:top w:val="none" w:sz="0" w:space="0" w:color="auto"/>
            <w:left w:val="none" w:sz="0" w:space="0" w:color="auto"/>
            <w:bottom w:val="none" w:sz="0" w:space="0" w:color="auto"/>
            <w:right w:val="none" w:sz="0" w:space="0" w:color="auto"/>
          </w:divBdr>
        </w:div>
        <w:div w:id="1842114565">
          <w:marLeft w:val="0"/>
          <w:marRight w:val="0"/>
          <w:marTop w:val="0"/>
          <w:marBottom w:val="0"/>
          <w:divBdr>
            <w:top w:val="none" w:sz="0" w:space="0" w:color="auto"/>
            <w:left w:val="none" w:sz="0" w:space="0" w:color="auto"/>
            <w:bottom w:val="none" w:sz="0" w:space="0" w:color="auto"/>
            <w:right w:val="none" w:sz="0" w:space="0" w:color="auto"/>
          </w:divBdr>
        </w:div>
        <w:div w:id="169373188">
          <w:marLeft w:val="0"/>
          <w:marRight w:val="0"/>
          <w:marTop w:val="0"/>
          <w:marBottom w:val="0"/>
          <w:divBdr>
            <w:top w:val="none" w:sz="0" w:space="0" w:color="auto"/>
            <w:left w:val="none" w:sz="0" w:space="0" w:color="auto"/>
            <w:bottom w:val="none" w:sz="0" w:space="0" w:color="auto"/>
            <w:right w:val="none" w:sz="0" w:space="0" w:color="auto"/>
          </w:divBdr>
        </w:div>
        <w:div w:id="1047297752">
          <w:marLeft w:val="0"/>
          <w:marRight w:val="0"/>
          <w:marTop w:val="0"/>
          <w:marBottom w:val="0"/>
          <w:divBdr>
            <w:top w:val="none" w:sz="0" w:space="0" w:color="auto"/>
            <w:left w:val="none" w:sz="0" w:space="0" w:color="auto"/>
            <w:bottom w:val="none" w:sz="0" w:space="0" w:color="auto"/>
            <w:right w:val="none" w:sz="0" w:space="0" w:color="auto"/>
          </w:divBdr>
        </w:div>
        <w:div w:id="1093356599">
          <w:marLeft w:val="0"/>
          <w:marRight w:val="0"/>
          <w:marTop w:val="0"/>
          <w:marBottom w:val="0"/>
          <w:divBdr>
            <w:top w:val="none" w:sz="0" w:space="0" w:color="auto"/>
            <w:left w:val="none" w:sz="0" w:space="0" w:color="auto"/>
            <w:bottom w:val="none" w:sz="0" w:space="0" w:color="auto"/>
            <w:right w:val="none" w:sz="0" w:space="0" w:color="auto"/>
          </w:divBdr>
        </w:div>
        <w:div w:id="1843928329">
          <w:marLeft w:val="0"/>
          <w:marRight w:val="0"/>
          <w:marTop w:val="0"/>
          <w:marBottom w:val="0"/>
          <w:divBdr>
            <w:top w:val="none" w:sz="0" w:space="0" w:color="auto"/>
            <w:left w:val="none" w:sz="0" w:space="0" w:color="auto"/>
            <w:bottom w:val="none" w:sz="0" w:space="0" w:color="auto"/>
            <w:right w:val="none" w:sz="0" w:space="0" w:color="auto"/>
          </w:divBdr>
        </w:div>
        <w:div w:id="1975059794">
          <w:marLeft w:val="0"/>
          <w:marRight w:val="0"/>
          <w:marTop w:val="0"/>
          <w:marBottom w:val="0"/>
          <w:divBdr>
            <w:top w:val="none" w:sz="0" w:space="0" w:color="auto"/>
            <w:left w:val="none" w:sz="0" w:space="0" w:color="auto"/>
            <w:bottom w:val="none" w:sz="0" w:space="0" w:color="auto"/>
            <w:right w:val="none" w:sz="0" w:space="0" w:color="auto"/>
          </w:divBdr>
        </w:div>
        <w:div w:id="749666485">
          <w:marLeft w:val="0"/>
          <w:marRight w:val="0"/>
          <w:marTop w:val="0"/>
          <w:marBottom w:val="0"/>
          <w:divBdr>
            <w:top w:val="none" w:sz="0" w:space="0" w:color="auto"/>
            <w:left w:val="none" w:sz="0" w:space="0" w:color="auto"/>
            <w:bottom w:val="none" w:sz="0" w:space="0" w:color="auto"/>
            <w:right w:val="none" w:sz="0" w:space="0" w:color="auto"/>
          </w:divBdr>
        </w:div>
        <w:div w:id="460610166">
          <w:marLeft w:val="0"/>
          <w:marRight w:val="0"/>
          <w:marTop w:val="0"/>
          <w:marBottom w:val="0"/>
          <w:divBdr>
            <w:top w:val="none" w:sz="0" w:space="0" w:color="auto"/>
            <w:left w:val="none" w:sz="0" w:space="0" w:color="auto"/>
            <w:bottom w:val="none" w:sz="0" w:space="0" w:color="auto"/>
            <w:right w:val="none" w:sz="0" w:space="0" w:color="auto"/>
          </w:divBdr>
        </w:div>
        <w:div w:id="291374291">
          <w:marLeft w:val="0"/>
          <w:marRight w:val="0"/>
          <w:marTop w:val="0"/>
          <w:marBottom w:val="0"/>
          <w:divBdr>
            <w:top w:val="none" w:sz="0" w:space="0" w:color="auto"/>
            <w:left w:val="none" w:sz="0" w:space="0" w:color="auto"/>
            <w:bottom w:val="none" w:sz="0" w:space="0" w:color="auto"/>
            <w:right w:val="none" w:sz="0" w:space="0" w:color="auto"/>
          </w:divBdr>
        </w:div>
        <w:div w:id="282468127">
          <w:marLeft w:val="0"/>
          <w:marRight w:val="0"/>
          <w:marTop w:val="0"/>
          <w:marBottom w:val="0"/>
          <w:divBdr>
            <w:top w:val="none" w:sz="0" w:space="0" w:color="auto"/>
            <w:left w:val="none" w:sz="0" w:space="0" w:color="auto"/>
            <w:bottom w:val="none" w:sz="0" w:space="0" w:color="auto"/>
            <w:right w:val="none" w:sz="0" w:space="0" w:color="auto"/>
          </w:divBdr>
        </w:div>
        <w:div w:id="6560297">
          <w:marLeft w:val="0"/>
          <w:marRight w:val="0"/>
          <w:marTop w:val="0"/>
          <w:marBottom w:val="0"/>
          <w:divBdr>
            <w:top w:val="none" w:sz="0" w:space="0" w:color="auto"/>
            <w:left w:val="none" w:sz="0" w:space="0" w:color="auto"/>
            <w:bottom w:val="none" w:sz="0" w:space="0" w:color="auto"/>
            <w:right w:val="none" w:sz="0" w:space="0" w:color="auto"/>
          </w:divBdr>
        </w:div>
        <w:div w:id="858662000">
          <w:marLeft w:val="0"/>
          <w:marRight w:val="0"/>
          <w:marTop w:val="0"/>
          <w:marBottom w:val="0"/>
          <w:divBdr>
            <w:top w:val="none" w:sz="0" w:space="0" w:color="auto"/>
            <w:left w:val="none" w:sz="0" w:space="0" w:color="auto"/>
            <w:bottom w:val="none" w:sz="0" w:space="0" w:color="auto"/>
            <w:right w:val="none" w:sz="0" w:space="0" w:color="auto"/>
          </w:divBdr>
        </w:div>
        <w:div w:id="2117821010">
          <w:marLeft w:val="0"/>
          <w:marRight w:val="0"/>
          <w:marTop w:val="0"/>
          <w:marBottom w:val="0"/>
          <w:divBdr>
            <w:top w:val="none" w:sz="0" w:space="0" w:color="auto"/>
            <w:left w:val="none" w:sz="0" w:space="0" w:color="auto"/>
            <w:bottom w:val="none" w:sz="0" w:space="0" w:color="auto"/>
            <w:right w:val="none" w:sz="0" w:space="0" w:color="auto"/>
          </w:divBdr>
        </w:div>
        <w:div w:id="2128886259">
          <w:marLeft w:val="0"/>
          <w:marRight w:val="0"/>
          <w:marTop w:val="0"/>
          <w:marBottom w:val="0"/>
          <w:divBdr>
            <w:top w:val="none" w:sz="0" w:space="0" w:color="auto"/>
            <w:left w:val="none" w:sz="0" w:space="0" w:color="auto"/>
            <w:bottom w:val="none" w:sz="0" w:space="0" w:color="auto"/>
            <w:right w:val="none" w:sz="0" w:space="0" w:color="auto"/>
          </w:divBdr>
        </w:div>
        <w:div w:id="722562554">
          <w:marLeft w:val="0"/>
          <w:marRight w:val="0"/>
          <w:marTop w:val="0"/>
          <w:marBottom w:val="0"/>
          <w:divBdr>
            <w:top w:val="none" w:sz="0" w:space="0" w:color="auto"/>
            <w:left w:val="none" w:sz="0" w:space="0" w:color="auto"/>
            <w:bottom w:val="none" w:sz="0" w:space="0" w:color="auto"/>
            <w:right w:val="none" w:sz="0" w:space="0" w:color="auto"/>
          </w:divBdr>
        </w:div>
        <w:div w:id="904683678">
          <w:marLeft w:val="0"/>
          <w:marRight w:val="0"/>
          <w:marTop w:val="0"/>
          <w:marBottom w:val="0"/>
          <w:divBdr>
            <w:top w:val="none" w:sz="0" w:space="0" w:color="auto"/>
            <w:left w:val="none" w:sz="0" w:space="0" w:color="auto"/>
            <w:bottom w:val="none" w:sz="0" w:space="0" w:color="auto"/>
            <w:right w:val="none" w:sz="0" w:space="0" w:color="auto"/>
          </w:divBdr>
        </w:div>
        <w:div w:id="534007414">
          <w:marLeft w:val="0"/>
          <w:marRight w:val="0"/>
          <w:marTop w:val="0"/>
          <w:marBottom w:val="0"/>
          <w:divBdr>
            <w:top w:val="none" w:sz="0" w:space="0" w:color="auto"/>
            <w:left w:val="none" w:sz="0" w:space="0" w:color="auto"/>
            <w:bottom w:val="none" w:sz="0" w:space="0" w:color="auto"/>
            <w:right w:val="none" w:sz="0" w:space="0" w:color="auto"/>
          </w:divBdr>
        </w:div>
        <w:div w:id="411394688">
          <w:marLeft w:val="0"/>
          <w:marRight w:val="0"/>
          <w:marTop w:val="0"/>
          <w:marBottom w:val="0"/>
          <w:divBdr>
            <w:top w:val="none" w:sz="0" w:space="0" w:color="auto"/>
            <w:left w:val="none" w:sz="0" w:space="0" w:color="auto"/>
            <w:bottom w:val="none" w:sz="0" w:space="0" w:color="auto"/>
            <w:right w:val="none" w:sz="0" w:space="0" w:color="auto"/>
          </w:divBdr>
        </w:div>
        <w:div w:id="1530097418">
          <w:marLeft w:val="0"/>
          <w:marRight w:val="0"/>
          <w:marTop w:val="0"/>
          <w:marBottom w:val="0"/>
          <w:divBdr>
            <w:top w:val="none" w:sz="0" w:space="0" w:color="auto"/>
            <w:left w:val="none" w:sz="0" w:space="0" w:color="auto"/>
            <w:bottom w:val="none" w:sz="0" w:space="0" w:color="auto"/>
            <w:right w:val="none" w:sz="0" w:space="0" w:color="auto"/>
          </w:divBdr>
        </w:div>
        <w:div w:id="146634562">
          <w:marLeft w:val="0"/>
          <w:marRight w:val="0"/>
          <w:marTop w:val="0"/>
          <w:marBottom w:val="0"/>
          <w:divBdr>
            <w:top w:val="none" w:sz="0" w:space="0" w:color="auto"/>
            <w:left w:val="none" w:sz="0" w:space="0" w:color="auto"/>
            <w:bottom w:val="none" w:sz="0" w:space="0" w:color="auto"/>
            <w:right w:val="none" w:sz="0" w:space="0" w:color="auto"/>
          </w:divBdr>
        </w:div>
        <w:div w:id="964235344">
          <w:marLeft w:val="0"/>
          <w:marRight w:val="0"/>
          <w:marTop w:val="0"/>
          <w:marBottom w:val="0"/>
          <w:divBdr>
            <w:top w:val="none" w:sz="0" w:space="0" w:color="auto"/>
            <w:left w:val="none" w:sz="0" w:space="0" w:color="auto"/>
            <w:bottom w:val="none" w:sz="0" w:space="0" w:color="auto"/>
            <w:right w:val="none" w:sz="0" w:space="0" w:color="auto"/>
          </w:divBdr>
        </w:div>
        <w:div w:id="1725055958">
          <w:marLeft w:val="0"/>
          <w:marRight w:val="0"/>
          <w:marTop w:val="0"/>
          <w:marBottom w:val="0"/>
          <w:divBdr>
            <w:top w:val="none" w:sz="0" w:space="0" w:color="auto"/>
            <w:left w:val="none" w:sz="0" w:space="0" w:color="auto"/>
            <w:bottom w:val="none" w:sz="0" w:space="0" w:color="auto"/>
            <w:right w:val="none" w:sz="0" w:space="0" w:color="auto"/>
          </w:divBdr>
        </w:div>
        <w:div w:id="379134844">
          <w:marLeft w:val="0"/>
          <w:marRight w:val="0"/>
          <w:marTop w:val="0"/>
          <w:marBottom w:val="0"/>
          <w:divBdr>
            <w:top w:val="none" w:sz="0" w:space="0" w:color="auto"/>
            <w:left w:val="none" w:sz="0" w:space="0" w:color="auto"/>
            <w:bottom w:val="none" w:sz="0" w:space="0" w:color="auto"/>
            <w:right w:val="none" w:sz="0" w:space="0" w:color="auto"/>
          </w:divBdr>
        </w:div>
        <w:div w:id="1889485957">
          <w:marLeft w:val="0"/>
          <w:marRight w:val="0"/>
          <w:marTop w:val="0"/>
          <w:marBottom w:val="0"/>
          <w:divBdr>
            <w:top w:val="none" w:sz="0" w:space="0" w:color="auto"/>
            <w:left w:val="none" w:sz="0" w:space="0" w:color="auto"/>
            <w:bottom w:val="none" w:sz="0" w:space="0" w:color="auto"/>
            <w:right w:val="none" w:sz="0" w:space="0" w:color="auto"/>
          </w:divBdr>
        </w:div>
        <w:div w:id="749471493">
          <w:marLeft w:val="0"/>
          <w:marRight w:val="0"/>
          <w:marTop w:val="0"/>
          <w:marBottom w:val="0"/>
          <w:divBdr>
            <w:top w:val="none" w:sz="0" w:space="0" w:color="auto"/>
            <w:left w:val="none" w:sz="0" w:space="0" w:color="auto"/>
            <w:bottom w:val="none" w:sz="0" w:space="0" w:color="auto"/>
            <w:right w:val="none" w:sz="0" w:space="0" w:color="auto"/>
          </w:divBdr>
        </w:div>
        <w:div w:id="1644894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B60726-F91F-4720-B577-55F553B3BA9F}"/>
</file>

<file path=customXml/itemProps2.xml><?xml version="1.0" encoding="utf-8"?>
<ds:datastoreItem xmlns:ds="http://schemas.openxmlformats.org/officeDocument/2006/customXml" ds:itemID="{52C93DBD-20C5-4783-AB71-FCAD3E9D388B}"/>
</file>

<file path=customXml/itemProps3.xml><?xml version="1.0" encoding="utf-8"?>
<ds:datastoreItem xmlns:ds="http://schemas.openxmlformats.org/officeDocument/2006/customXml" ds:itemID="{C5A75E0D-74EE-4D66-91D5-496E089D4AFC}"/>
</file>

<file path=docProps/app.xml><?xml version="1.0" encoding="utf-8"?>
<Properties xmlns="http://schemas.openxmlformats.org/officeDocument/2006/extended-properties" xmlns:vt="http://schemas.openxmlformats.org/officeDocument/2006/docPropsVTypes">
  <Template>Normal</Template>
  <TotalTime>7</TotalTime>
  <Pages>3</Pages>
  <Words>605</Words>
  <Characters>3272</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4</cp:revision>
  <dcterms:created xsi:type="dcterms:W3CDTF">2024-05-28T16:07:00Z</dcterms:created>
  <dcterms:modified xsi:type="dcterms:W3CDTF">2024-05-28T16:14:00Z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