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7EE84" w14:textId="5D691DBA" w:rsidR="007D48B6" w:rsidRDefault="007D48B6" w:rsidP="007D48B6">
      <w:pPr>
        <w:pStyle w:val="TextosemFormatao"/>
        <w:spacing w:before="60" w:after="60"/>
        <w:jc w:val="center"/>
        <w:rPr>
          <w:rFonts w:ascii="Helvetica" w:hAnsi="Helvetica" w:cs="Helvetica"/>
          <w:b/>
          <w:bCs/>
          <w:sz w:val="22"/>
          <w:szCs w:val="22"/>
        </w:rPr>
      </w:pPr>
      <w:r w:rsidRPr="007D48B6">
        <w:rPr>
          <w:rFonts w:ascii="Helvetica" w:hAnsi="Helvetica" w:cs="Helvetica"/>
          <w:b/>
          <w:bCs/>
          <w:sz w:val="22"/>
          <w:szCs w:val="22"/>
        </w:rPr>
        <w:t>DECRETO Nº 65.868, DE 16 DE JULHO DE 2021</w:t>
      </w:r>
    </w:p>
    <w:p w14:paraId="24A66002" w14:textId="77777777" w:rsidR="007D48B6" w:rsidRPr="007D48B6" w:rsidRDefault="007D48B6" w:rsidP="007D48B6">
      <w:pPr>
        <w:pStyle w:val="TextosemFormatao"/>
        <w:spacing w:before="60" w:after="60"/>
        <w:jc w:val="center"/>
        <w:rPr>
          <w:rFonts w:ascii="Helvetica" w:hAnsi="Helvetica" w:cs="Helvetica"/>
          <w:b/>
          <w:bCs/>
          <w:sz w:val="22"/>
          <w:szCs w:val="22"/>
        </w:rPr>
      </w:pPr>
    </w:p>
    <w:p w14:paraId="2AD62EB9" w14:textId="1DBDF4BC" w:rsidR="007D48B6" w:rsidRDefault="007D48B6" w:rsidP="007D48B6">
      <w:pPr>
        <w:pStyle w:val="TextosemFormatao"/>
        <w:spacing w:before="60" w:after="60"/>
        <w:ind w:left="3686"/>
        <w:jc w:val="both"/>
        <w:rPr>
          <w:rFonts w:ascii="Helvetica" w:hAnsi="Helvetica" w:cs="Helvetica"/>
          <w:sz w:val="22"/>
          <w:szCs w:val="22"/>
        </w:rPr>
      </w:pPr>
      <w:r w:rsidRPr="007D48B6">
        <w:rPr>
          <w:rFonts w:ascii="Helvetica" w:hAnsi="Helvetica" w:cs="Helvetica"/>
          <w:sz w:val="22"/>
          <w:szCs w:val="22"/>
        </w:rPr>
        <w:t>Altera o Decreto nº 65.812, de 23 de junho de 2021, que regulamenta o Programa Bolsa do Povo, criado pela Lei nº 17.372, de 26 de maio de 2021, e dá providências correlatas</w:t>
      </w:r>
    </w:p>
    <w:p w14:paraId="1B629921" w14:textId="77777777" w:rsidR="007D48B6" w:rsidRPr="007D48B6" w:rsidRDefault="007D48B6" w:rsidP="007D48B6">
      <w:pPr>
        <w:pStyle w:val="TextosemFormatao"/>
        <w:spacing w:before="60" w:after="60"/>
        <w:ind w:firstLine="1418"/>
        <w:jc w:val="both"/>
        <w:rPr>
          <w:rFonts w:ascii="Helvetica" w:hAnsi="Helvetica" w:cs="Helvetica"/>
          <w:sz w:val="22"/>
          <w:szCs w:val="22"/>
        </w:rPr>
      </w:pPr>
    </w:p>
    <w:p w14:paraId="75CB30D7" w14:textId="277AB2AE" w:rsidR="007D48B6" w:rsidRPr="007D48B6" w:rsidRDefault="007D48B6" w:rsidP="007D48B6">
      <w:pPr>
        <w:pStyle w:val="TextosemFormatao"/>
        <w:spacing w:before="60" w:after="60"/>
        <w:ind w:firstLine="1418"/>
        <w:jc w:val="both"/>
        <w:rPr>
          <w:rFonts w:ascii="Helvetica" w:hAnsi="Helvetica" w:cs="Helvetica"/>
          <w:sz w:val="22"/>
          <w:szCs w:val="22"/>
        </w:rPr>
      </w:pPr>
      <w:r w:rsidRPr="007D48B6">
        <w:rPr>
          <w:rFonts w:ascii="Helvetica" w:hAnsi="Helvetica" w:cs="Helvetica"/>
          <w:sz w:val="22"/>
          <w:szCs w:val="22"/>
        </w:rPr>
        <w:t>JOÃO DORIA, GOVERNADOR DO ESTADO DE SÃO PAULO, no uso de suas atribuições legais e com fundamento no artigo 2º da Lei nº 17.372, de 26 de maio de 2021,</w:t>
      </w:r>
    </w:p>
    <w:p w14:paraId="0F1DACCF" w14:textId="77777777" w:rsidR="007D48B6" w:rsidRPr="007D48B6" w:rsidRDefault="007D48B6" w:rsidP="007D48B6">
      <w:pPr>
        <w:pStyle w:val="TextosemFormatao"/>
        <w:spacing w:before="60" w:after="60"/>
        <w:ind w:firstLine="1418"/>
        <w:jc w:val="both"/>
        <w:rPr>
          <w:rFonts w:ascii="Helvetica" w:hAnsi="Helvetica" w:cs="Helvetica"/>
          <w:sz w:val="22"/>
          <w:szCs w:val="22"/>
        </w:rPr>
      </w:pPr>
      <w:r w:rsidRPr="007D48B6">
        <w:rPr>
          <w:rFonts w:ascii="Helvetica" w:hAnsi="Helvetica" w:cs="Helvetica"/>
          <w:sz w:val="22"/>
          <w:szCs w:val="22"/>
        </w:rPr>
        <w:t>Decreta:</w:t>
      </w:r>
    </w:p>
    <w:p w14:paraId="007B28B1" w14:textId="22019A11" w:rsidR="007D48B6" w:rsidRPr="007D48B6" w:rsidRDefault="007D48B6" w:rsidP="007D48B6">
      <w:pPr>
        <w:pStyle w:val="TextosemFormatao"/>
        <w:spacing w:before="60" w:after="60"/>
        <w:ind w:firstLine="1418"/>
        <w:jc w:val="both"/>
        <w:rPr>
          <w:rFonts w:ascii="Helvetica" w:hAnsi="Helvetica" w:cs="Helvetica"/>
          <w:sz w:val="22"/>
          <w:szCs w:val="22"/>
        </w:rPr>
      </w:pPr>
      <w:r w:rsidRPr="007D48B6">
        <w:rPr>
          <w:rFonts w:ascii="Helvetica" w:hAnsi="Helvetica" w:cs="Helvetica"/>
          <w:sz w:val="22"/>
          <w:szCs w:val="22"/>
        </w:rPr>
        <w:t>Artigo 1º</w:t>
      </w:r>
      <w:r>
        <w:rPr>
          <w:rFonts w:ascii="Helvetica" w:hAnsi="Helvetica" w:cs="Helvetica"/>
          <w:sz w:val="22"/>
          <w:szCs w:val="22"/>
        </w:rPr>
        <w:t xml:space="preserve"> </w:t>
      </w:r>
      <w:r w:rsidRPr="007D48B6">
        <w:rPr>
          <w:rFonts w:ascii="Helvetica" w:hAnsi="Helvetica" w:cs="Helvetica"/>
          <w:sz w:val="22"/>
          <w:szCs w:val="22"/>
        </w:rPr>
        <w:t>- Ficam acrescentados ao Decreto nº 65.812, de 23 de ju</w:t>
      </w:r>
      <w:r w:rsidR="00903C75">
        <w:rPr>
          <w:rFonts w:ascii="Helvetica" w:hAnsi="Helvetica" w:cs="Helvetica"/>
          <w:sz w:val="22"/>
          <w:szCs w:val="22"/>
        </w:rPr>
        <w:softHyphen/>
      </w:r>
      <w:r w:rsidRPr="007D48B6">
        <w:rPr>
          <w:rFonts w:ascii="Helvetica" w:hAnsi="Helvetica" w:cs="Helvetica"/>
          <w:sz w:val="22"/>
          <w:szCs w:val="22"/>
        </w:rPr>
        <w:t>nho de 2021:</w:t>
      </w:r>
    </w:p>
    <w:p w14:paraId="0FD4B737" w14:textId="61E50D87" w:rsidR="007D48B6" w:rsidRPr="007D48B6" w:rsidRDefault="007D48B6" w:rsidP="007D48B6">
      <w:pPr>
        <w:pStyle w:val="TextosemFormatao"/>
        <w:spacing w:before="60" w:after="60"/>
        <w:ind w:firstLine="1418"/>
        <w:jc w:val="both"/>
        <w:rPr>
          <w:rFonts w:ascii="Helvetica" w:hAnsi="Helvetica" w:cs="Helvetica"/>
          <w:sz w:val="22"/>
          <w:szCs w:val="22"/>
        </w:rPr>
      </w:pPr>
      <w:r w:rsidRPr="007D48B6">
        <w:rPr>
          <w:rFonts w:ascii="Helvetica" w:hAnsi="Helvetica" w:cs="Helvetica"/>
          <w:sz w:val="22"/>
          <w:szCs w:val="22"/>
        </w:rPr>
        <w:t>I</w:t>
      </w:r>
      <w:r>
        <w:rPr>
          <w:rFonts w:ascii="Helvetica" w:hAnsi="Helvetica" w:cs="Helvetica"/>
          <w:sz w:val="22"/>
          <w:szCs w:val="22"/>
        </w:rPr>
        <w:t xml:space="preserve"> </w:t>
      </w:r>
      <w:r w:rsidRPr="007D48B6">
        <w:rPr>
          <w:rFonts w:ascii="Helvetica" w:hAnsi="Helvetica" w:cs="Helvetica"/>
          <w:sz w:val="22"/>
          <w:szCs w:val="22"/>
        </w:rPr>
        <w:t xml:space="preserve">- </w:t>
      </w:r>
      <w:proofErr w:type="gramStart"/>
      <w:r w:rsidRPr="007D48B6">
        <w:rPr>
          <w:rFonts w:ascii="Helvetica" w:hAnsi="Helvetica" w:cs="Helvetica"/>
          <w:sz w:val="22"/>
          <w:szCs w:val="22"/>
        </w:rPr>
        <w:t>ao</w:t>
      </w:r>
      <w:proofErr w:type="gramEnd"/>
      <w:r w:rsidRPr="007D48B6">
        <w:rPr>
          <w:rFonts w:ascii="Helvetica" w:hAnsi="Helvetica" w:cs="Helvetica"/>
          <w:sz w:val="22"/>
          <w:szCs w:val="22"/>
        </w:rPr>
        <w:t xml:space="preserve"> artigo 4º, o</w:t>
      </w:r>
      <w:r w:rsidR="00903C75">
        <w:rPr>
          <w:rFonts w:ascii="Helvetica" w:hAnsi="Helvetica" w:cs="Helvetica"/>
          <w:sz w:val="22"/>
          <w:szCs w:val="22"/>
        </w:rPr>
        <w:t xml:space="preserve"> </w:t>
      </w:r>
      <w:r w:rsidRPr="007D48B6">
        <w:rPr>
          <w:rFonts w:ascii="Helvetica" w:hAnsi="Helvetica" w:cs="Helvetica"/>
          <w:sz w:val="22"/>
          <w:szCs w:val="22"/>
        </w:rPr>
        <w:t>inciso</w:t>
      </w:r>
      <w:r w:rsidR="00903C75">
        <w:rPr>
          <w:rFonts w:ascii="Helvetica" w:hAnsi="Helvetica" w:cs="Helvetica"/>
          <w:sz w:val="22"/>
          <w:szCs w:val="22"/>
        </w:rPr>
        <w:t xml:space="preserve"> </w:t>
      </w:r>
      <w:r w:rsidRPr="007D48B6">
        <w:rPr>
          <w:rFonts w:ascii="Helvetica" w:hAnsi="Helvetica" w:cs="Helvetica"/>
          <w:sz w:val="22"/>
          <w:szCs w:val="22"/>
        </w:rPr>
        <w:t>X, com a seguinte redação:</w:t>
      </w:r>
    </w:p>
    <w:p w14:paraId="6E857333" w14:textId="43A6AC2A" w:rsidR="007D48B6" w:rsidRPr="007D48B6" w:rsidRDefault="007D48B6" w:rsidP="007D48B6">
      <w:pPr>
        <w:pStyle w:val="TextosemFormatao"/>
        <w:spacing w:before="60" w:after="60"/>
        <w:ind w:firstLine="1418"/>
        <w:jc w:val="both"/>
        <w:rPr>
          <w:rFonts w:ascii="Helvetica" w:hAnsi="Helvetica" w:cs="Helvetica"/>
          <w:sz w:val="22"/>
          <w:szCs w:val="22"/>
        </w:rPr>
      </w:pPr>
      <w:r w:rsidRPr="007D48B6">
        <w:rPr>
          <w:rFonts w:ascii="Helvetica" w:hAnsi="Helvetica" w:cs="Helvetica"/>
          <w:sz w:val="22"/>
          <w:szCs w:val="22"/>
        </w:rPr>
        <w:t>"X</w:t>
      </w:r>
      <w:r>
        <w:rPr>
          <w:rFonts w:ascii="Helvetica" w:hAnsi="Helvetica" w:cs="Helvetica"/>
          <w:sz w:val="22"/>
          <w:szCs w:val="22"/>
        </w:rPr>
        <w:t xml:space="preserve"> </w:t>
      </w:r>
      <w:r w:rsidRPr="007D48B6">
        <w:rPr>
          <w:rFonts w:ascii="Helvetica" w:hAnsi="Helvetica" w:cs="Helvetica"/>
          <w:sz w:val="22"/>
          <w:szCs w:val="22"/>
        </w:rPr>
        <w:t>-</w:t>
      </w:r>
      <w:r>
        <w:rPr>
          <w:rFonts w:ascii="Helvetica" w:hAnsi="Helvetica" w:cs="Helvetica"/>
          <w:sz w:val="22"/>
          <w:szCs w:val="22"/>
        </w:rPr>
        <w:t xml:space="preserve"> </w:t>
      </w:r>
      <w:r w:rsidRPr="007D48B6">
        <w:rPr>
          <w:rFonts w:ascii="Helvetica" w:hAnsi="Helvetica" w:cs="Helvetica"/>
          <w:sz w:val="22"/>
          <w:szCs w:val="22"/>
        </w:rPr>
        <w:t>Ação Bolsa do Povo Educação, nos termos da Lei nº 10.321, de 8 de junho de 1999, e das Disposições Transitórias da Lei nº 17.372, de 26 de maio de 2021, observado o disposto no Anexo III</w:t>
      </w:r>
      <w:r w:rsidR="00F80748">
        <w:rPr>
          <w:rFonts w:ascii="Helvetica" w:hAnsi="Helvetica" w:cs="Helvetica"/>
          <w:sz w:val="22"/>
          <w:szCs w:val="22"/>
        </w:rPr>
        <w:t xml:space="preserve"> </w:t>
      </w:r>
      <w:r w:rsidRPr="007D48B6">
        <w:rPr>
          <w:rFonts w:ascii="Helvetica" w:hAnsi="Helvetica" w:cs="Helvetica"/>
          <w:sz w:val="22"/>
          <w:szCs w:val="22"/>
        </w:rPr>
        <w:t>que integra este decreto.";</w:t>
      </w:r>
    </w:p>
    <w:p w14:paraId="10A1560B" w14:textId="2983CA0D" w:rsidR="007D48B6" w:rsidRPr="007D48B6" w:rsidRDefault="007D48B6" w:rsidP="007D48B6">
      <w:pPr>
        <w:pStyle w:val="TextosemFormatao"/>
        <w:spacing w:before="60" w:after="60"/>
        <w:ind w:firstLine="1418"/>
        <w:jc w:val="both"/>
        <w:rPr>
          <w:rFonts w:ascii="Helvetica" w:hAnsi="Helvetica" w:cs="Helvetica"/>
          <w:sz w:val="22"/>
          <w:szCs w:val="22"/>
        </w:rPr>
      </w:pPr>
      <w:r w:rsidRPr="007D48B6">
        <w:rPr>
          <w:rFonts w:ascii="Helvetica" w:hAnsi="Helvetica" w:cs="Helvetica"/>
          <w:sz w:val="22"/>
          <w:szCs w:val="22"/>
        </w:rPr>
        <w:t>II</w:t>
      </w:r>
      <w:r w:rsidR="00F80748">
        <w:rPr>
          <w:rFonts w:ascii="Helvetica" w:hAnsi="Helvetica" w:cs="Helvetica"/>
          <w:sz w:val="22"/>
          <w:szCs w:val="22"/>
        </w:rPr>
        <w:t xml:space="preserve"> –</w:t>
      </w:r>
      <w:r w:rsidRPr="007D48B6">
        <w:rPr>
          <w:rFonts w:ascii="Helvetica" w:hAnsi="Helvetica" w:cs="Helvetica"/>
          <w:sz w:val="22"/>
          <w:szCs w:val="22"/>
        </w:rPr>
        <w:t xml:space="preserve"> </w:t>
      </w:r>
      <w:proofErr w:type="gramStart"/>
      <w:r w:rsidRPr="007D48B6">
        <w:rPr>
          <w:rFonts w:ascii="Helvetica" w:hAnsi="Helvetica" w:cs="Helvetica"/>
          <w:sz w:val="22"/>
          <w:szCs w:val="22"/>
        </w:rPr>
        <w:t>o</w:t>
      </w:r>
      <w:proofErr w:type="gramEnd"/>
      <w:r w:rsidR="00F80748">
        <w:rPr>
          <w:rFonts w:ascii="Helvetica" w:hAnsi="Helvetica" w:cs="Helvetica"/>
          <w:sz w:val="22"/>
          <w:szCs w:val="22"/>
        </w:rPr>
        <w:t xml:space="preserve"> </w:t>
      </w:r>
      <w:r w:rsidRPr="007D48B6">
        <w:rPr>
          <w:rFonts w:ascii="Helvetica" w:hAnsi="Helvetica" w:cs="Helvetica"/>
          <w:sz w:val="22"/>
          <w:szCs w:val="22"/>
        </w:rPr>
        <w:t>Anexo</w:t>
      </w:r>
      <w:r w:rsidR="00F80748">
        <w:rPr>
          <w:rFonts w:ascii="Helvetica" w:hAnsi="Helvetica" w:cs="Helvetica"/>
          <w:sz w:val="22"/>
          <w:szCs w:val="22"/>
        </w:rPr>
        <w:t xml:space="preserve"> </w:t>
      </w:r>
      <w:r w:rsidRPr="007D48B6">
        <w:rPr>
          <w:rFonts w:ascii="Helvetica" w:hAnsi="Helvetica" w:cs="Helvetica"/>
          <w:sz w:val="22"/>
          <w:szCs w:val="22"/>
        </w:rPr>
        <w:t>III, na conformidade do Anexo que integra este decreto.</w:t>
      </w:r>
    </w:p>
    <w:p w14:paraId="186E8C16" w14:textId="0DB2B4C0" w:rsidR="007D48B6" w:rsidRPr="007D48B6" w:rsidRDefault="007D48B6" w:rsidP="007D48B6">
      <w:pPr>
        <w:pStyle w:val="TextosemFormatao"/>
        <w:spacing w:before="60" w:after="60"/>
        <w:ind w:firstLine="1418"/>
        <w:jc w:val="both"/>
        <w:rPr>
          <w:rFonts w:ascii="Helvetica" w:hAnsi="Helvetica" w:cs="Helvetica"/>
          <w:sz w:val="22"/>
          <w:szCs w:val="22"/>
        </w:rPr>
      </w:pPr>
      <w:r w:rsidRPr="007D48B6">
        <w:rPr>
          <w:rFonts w:ascii="Helvetica" w:hAnsi="Helvetica" w:cs="Helvetica"/>
          <w:sz w:val="22"/>
          <w:szCs w:val="22"/>
        </w:rPr>
        <w:t>Artigo 2º -</w:t>
      </w:r>
      <w:r w:rsidR="00F80748">
        <w:rPr>
          <w:rFonts w:ascii="Helvetica" w:hAnsi="Helvetica" w:cs="Helvetica"/>
          <w:sz w:val="22"/>
          <w:szCs w:val="22"/>
        </w:rPr>
        <w:t xml:space="preserve"> </w:t>
      </w:r>
      <w:r w:rsidRPr="007D48B6">
        <w:rPr>
          <w:rFonts w:ascii="Helvetica" w:hAnsi="Helvetica" w:cs="Helvetica"/>
          <w:sz w:val="22"/>
          <w:szCs w:val="22"/>
        </w:rPr>
        <w:t>O Secretário da Educação editará normas complementa</w:t>
      </w:r>
      <w:r w:rsidR="00903C75">
        <w:rPr>
          <w:rFonts w:ascii="Helvetica" w:hAnsi="Helvetica" w:cs="Helvetica"/>
          <w:sz w:val="22"/>
          <w:szCs w:val="22"/>
        </w:rPr>
        <w:softHyphen/>
      </w:r>
      <w:r w:rsidRPr="007D48B6">
        <w:rPr>
          <w:rFonts w:ascii="Helvetica" w:hAnsi="Helvetica" w:cs="Helvetica"/>
          <w:sz w:val="22"/>
          <w:szCs w:val="22"/>
        </w:rPr>
        <w:t>res necessárias ao cumprimento deste decreto, observado o previsto nas Disposi</w:t>
      </w:r>
      <w:r w:rsidR="00903C75">
        <w:rPr>
          <w:rFonts w:ascii="Helvetica" w:hAnsi="Helvetica" w:cs="Helvetica"/>
          <w:sz w:val="22"/>
          <w:szCs w:val="22"/>
        </w:rPr>
        <w:softHyphen/>
      </w:r>
      <w:r w:rsidRPr="007D48B6">
        <w:rPr>
          <w:rFonts w:ascii="Helvetica" w:hAnsi="Helvetica" w:cs="Helvetica"/>
          <w:sz w:val="22"/>
          <w:szCs w:val="22"/>
        </w:rPr>
        <w:t>ções Transitórias da Lei nº 17.372, de 26 de maio de 2021.</w:t>
      </w:r>
    </w:p>
    <w:p w14:paraId="6400E249" w14:textId="7D860597" w:rsidR="007D48B6" w:rsidRPr="007D48B6" w:rsidRDefault="007D48B6" w:rsidP="007D48B6">
      <w:pPr>
        <w:pStyle w:val="TextosemFormatao"/>
        <w:spacing w:before="60" w:after="60"/>
        <w:ind w:firstLine="1418"/>
        <w:jc w:val="both"/>
        <w:rPr>
          <w:rFonts w:ascii="Helvetica" w:hAnsi="Helvetica" w:cs="Helvetica"/>
          <w:sz w:val="22"/>
          <w:szCs w:val="22"/>
        </w:rPr>
      </w:pPr>
      <w:r w:rsidRPr="007D48B6">
        <w:rPr>
          <w:rFonts w:ascii="Helvetica" w:hAnsi="Helvetica" w:cs="Helvetica"/>
          <w:sz w:val="22"/>
          <w:szCs w:val="22"/>
        </w:rPr>
        <w:t>Artigo 3º -</w:t>
      </w:r>
      <w:r w:rsidR="00F80748">
        <w:rPr>
          <w:rFonts w:ascii="Helvetica" w:hAnsi="Helvetica" w:cs="Helvetica"/>
          <w:sz w:val="22"/>
          <w:szCs w:val="22"/>
        </w:rPr>
        <w:t xml:space="preserve"> </w:t>
      </w:r>
      <w:r w:rsidRPr="007D48B6">
        <w:rPr>
          <w:rFonts w:ascii="Helvetica" w:hAnsi="Helvetica" w:cs="Helvetica"/>
          <w:sz w:val="22"/>
          <w:szCs w:val="22"/>
        </w:rPr>
        <w:t>Este decreto entra em vigor na data de sua publicação.</w:t>
      </w:r>
    </w:p>
    <w:p w14:paraId="10F5F080" w14:textId="77777777" w:rsidR="007D48B6" w:rsidRPr="007D48B6" w:rsidRDefault="007D48B6" w:rsidP="007D48B6">
      <w:pPr>
        <w:pStyle w:val="TextosemFormatao"/>
        <w:spacing w:before="60" w:after="60"/>
        <w:ind w:firstLine="1418"/>
        <w:jc w:val="both"/>
        <w:rPr>
          <w:rFonts w:ascii="Helvetica" w:hAnsi="Helvetica" w:cs="Helvetica"/>
          <w:sz w:val="22"/>
          <w:szCs w:val="22"/>
        </w:rPr>
      </w:pPr>
      <w:r w:rsidRPr="007D48B6">
        <w:rPr>
          <w:rFonts w:ascii="Helvetica" w:hAnsi="Helvetica" w:cs="Helvetica"/>
          <w:sz w:val="22"/>
          <w:szCs w:val="22"/>
        </w:rPr>
        <w:t>Palácio dos Bandeirantes, 16 de julho de 2021</w:t>
      </w:r>
    </w:p>
    <w:p w14:paraId="46181A25" w14:textId="63158F17" w:rsidR="007D48B6" w:rsidRDefault="007D48B6" w:rsidP="007D48B6">
      <w:pPr>
        <w:pStyle w:val="TextosemFormatao"/>
        <w:spacing w:before="60" w:after="60"/>
        <w:ind w:firstLine="1418"/>
        <w:jc w:val="both"/>
        <w:rPr>
          <w:rFonts w:ascii="Helvetica" w:hAnsi="Helvetica" w:cs="Helvetica"/>
          <w:sz w:val="22"/>
          <w:szCs w:val="22"/>
        </w:rPr>
      </w:pPr>
      <w:r w:rsidRPr="007D48B6">
        <w:rPr>
          <w:rFonts w:ascii="Helvetica" w:hAnsi="Helvetica" w:cs="Helvetica"/>
          <w:sz w:val="22"/>
          <w:szCs w:val="22"/>
        </w:rPr>
        <w:t>JOÃO DORIA</w:t>
      </w:r>
    </w:p>
    <w:p w14:paraId="4D1F52FA" w14:textId="45BF10B2" w:rsidR="000C06D6" w:rsidRPr="000C06D6" w:rsidRDefault="000C06D6" w:rsidP="007D48B6">
      <w:pPr>
        <w:pStyle w:val="TextosemFormatao"/>
        <w:spacing w:before="60" w:after="60"/>
        <w:ind w:firstLine="1418"/>
        <w:jc w:val="both"/>
        <w:rPr>
          <w:rFonts w:ascii="Helvetica" w:hAnsi="Helvetica" w:cs="Helvetica"/>
          <w:sz w:val="22"/>
          <w:szCs w:val="22"/>
        </w:rPr>
      </w:pPr>
    </w:p>
    <w:p w14:paraId="55D0F0DB" w14:textId="77777777" w:rsidR="000C06D6" w:rsidRPr="000C06D6" w:rsidRDefault="000C06D6" w:rsidP="000C06D6">
      <w:pPr>
        <w:spacing w:before="60" w:after="60" w:line="240" w:lineRule="auto"/>
        <w:jc w:val="center"/>
        <w:rPr>
          <w:rFonts w:ascii="Helvetica" w:hAnsi="Helvetica" w:cs="Helvetica"/>
          <w:b/>
          <w:bCs/>
          <w:spacing w:val="10"/>
        </w:rPr>
      </w:pPr>
      <w:r w:rsidRPr="000C06D6">
        <w:rPr>
          <w:rFonts w:ascii="Helvetica" w:hAnsi="Helvetica" w:cs="Helvetica"/>
          <w:b/>
          <w:bCs/>
          <w:spacing w:val="10"/>
        </w:rPr>
        <w:t>ANEXO</w:t>
      </w:r>
    </w:p>
    <w:p w14:paraId="4BB4D76D" w14:textId="77777777" w:rsidR="000C06D6" w:rsidRPr="000C06D6" w:rsidRDefault="000C06D6" w:rsidP="000C06D6">
      <w:pPr>
        <w:spacing w:before="60" w:after="60" w:line="240" w:lineRule="auto"/>
        <w:jc w:val="center"/>
        <w:rPr>
          <w:rFonts w:ascii="Helvetica" w:hAnsi="Helvetica" w:cs="Helvetica"/>
          <w:b/>
          <w:bCs/>
          <w:spacing w:val="10"/>
        </w:rPr>
      </w:pPr>
      <w:r w:rsidRPr="000C06D6">
        <w:rPr>
          <w:rFonts w:ascii="Helvetica" w:hAnsi="Helvetica" w:cs="Helvetica"/>
          <w:b/>
          <w:bCs/>
          <w:spacing w:val="10"/>
        </w:rPr>
        <w:t>a que se refere o inciso II do artigo 1º do</w:t>
      </w:r>
    </w:p>
    <w:p w14:paraId="73B95094" w14:textId="09A971F6" w:rsidR="000C06D6" w:rsidRPr="000C06D6" w:rsidRDefault="000C06D6" w:rsidP="000C06D6">
      <w:pPr>
        <w:spacing w:before="60" w:after="60" w:line="240" w:lineRule="auto"/>
        <w:jc w:val="center"/>
        <w:rPr>
          <w:rFonts w:ascii="Helvetica" w:hAnsi="Helvetica" w:cs="Helvetica"/>
          <w:b/>
          <w:bCs/>
          <w:spacing w:val="10"/>
        </w:rPr>
      </w:pPr>
      <w:r w:rsidRPr="000C06D6">
        <w:rPr>
          <w:rFonts w:ascii="Helvetica" w:hAnsi="Helvetica" w:cs="Helvetica"/>
          <w:b/>
          <w:bCs/>
          <w:spacing w:val="10"/>
        </w:rPr>
        <w:t xml:space="preserve">Decreto nº </w:t>
      </w:r>
      <w:r w:rsidR="00702D17">
        <w:rPr>
          <w:rFonts w:ascii="Helvetica" w:hAnsi="Helvetica" w:cs="Helvetica"/>
          <w:b/>
          <w:bCs/>
          <w:spacing w:val="10"/>
        </w:rPr>
        <w:t>65.868</w:t>
      </w:r>
      <w:r w:rsidRPr="000C06D6">
        <w:rPr>
          <w:rFonts w:ascii="Helvetica" w:hAnsi="Helvetica" w:cs="Helvetica"/>
          <w:b/>
          <w:bCs/>
          <w:spacing w:val="10"/>
        </w:rPr>
        <w:t xml:space="preserve">, de </w:t>
      </w:r>
      <w:r w:rsidR="00702D17">
        <w:rPr>
          <w:rFonts w:ascii="Helvetica" w:hAnsi="Helvetica" w:cs="Helvetica"/>
          <w:b/>
          <w:bCs/>
          <w:spacing w:val="10"/>
        </w:rPr>
        <w:t>16</w:t>
      </w:r>
      <w:r w:rsidRPr="000C06D6">
        <w:rPr>
          <w:rFonts w:ascii="Helvetica" w:hAnsi="Helvetica" w:cs="Helvetica"/>
          <w:b/>
          <w:bCs/>
          <w:spacing w:val="10"/>
        </w:rPr>
        <w:t xml:space="preserve"> de </w:t>
      </w:r>
      <w:r w:rsidR="00702D17">
        <w:rPr>
          <w:rFonts w:ascii="Helvetica" w:hAnsi="Helvetica" w:cs="Helvetica"/>
          <w:b/>
          <w:bCs/>
          <w:spacing w:val="10"/>
        </w:rPr>
        <w:t>julho</w:t>
      </w:r>
      <w:r w:rsidRPr="000C06D6">
        <w:rPr>
          <w:rFonts w:ascii="Helvetica" w:hAnsi="Helvetica" w:cs="Helvetica"/>
          <w:b/>
          <w:bCs/>
          <w:spacing w:val="10"/>
        </w:rPr>
        <w:t xml:space="preserve"> de 2021</w:t>
      </w:r>
    </w:p>
    <w:p w14:paraId="275531C2" w14:textId="77777777" w:rsidR="000C06D6" w:rsidRPr="000C06D6" w:rsidRDefault="000C06D6" w:rsidP="000C06D6">
      <w:pPr>
        <w:spacing w:before="60" w:after="60" w:line="240" w:lineRule="auto"/>
        <w:jc w:val="center"/>
        <w:rPr>
          <w:rFonts w:ascii="Helvetica" w:hAnsi="Helvetica" w:cs="Helvetica"/>
          <w:b/>
          <w:bCs/>
          <w:spacing w:val="10"/>
        </w:rPr>
      </w:pPr>
    </w:p>
    <w:p w14:paraId="0A6299D9" w14:textId="77777777" w:rsidR="000C06D6" w:rsidRPr="000C06D6" w:rsidRDefault="000C06D6" w:rsidP="000C06D6">
      <w:pPr>
        <w:spacing w:before="60" w:after="60" w:line="240" w:lineRule="auto"/>
        <w:jc w:val="center"/>
        <w:rPr>
          <w:rFonts w:ascii="Helvetica" w:hAnsi="Helvetica" w:cs="Helvetica"/>
          <w:spacing w:val="10"/>
        </w:rPr>
      </w:pPr>
      <w:r w:rsidRPr="000C06D6">
        <w:rPr>
          <w:rFonts w:ascii="Helvetica" w:hAnsi="Helvetica" w:cs="Helvetica"/>
          <w:spacing w:val="10"/>
        </w:rPr>
        <w:t>ANEXO III</w:t>
      </w:r>
    </w:p>
    <w:p w14:paraId="03B4E06B" w14:textId="77777777" w:rsidR="000C06D6" w:rsidRPr="000C06D6" w:rsidRDefault="000C06D6" w:rsidP="000C06D6">
      <w:pPr>
        <w:spacing w:before="60" w:after="60" w:line="240" w:lineRule="auto"/>
        <w:jc w:val="center"/>
        <w:rPr>
          <w:rFonts w:ascii="Helvetica" w:hAnsi="Helvetica" w:cs="Helvetica"/>
          <w:spacing w:val="10"/>
        </w:rPr>
      </w:pPr>
      <w:r w:rsidRPr="000C06D6">
        <w:rPr>
          <w:rFonts w:ascii="Helvetica" w:hAnsi="Helvetica" w:cs="Helvetica"/>
          <w:spacing w:val="10"/>
        </w:rPr>
        <w:t xml:space="preserve">a que se refere o inciso X do artigo 4º do </w:t>
      </w:r>
    </w:p>
    <w:p w14:paraId="4D122064" w14:textId="6E4BD3A4" w:rsidR="000C06D6" w:rsidRDefault="000C06D6" w:rsidP="000C06D6">
      <w:pPr>
        <w:spacing w:before="60" w:after="60" w:line="240" w:lineRule="auto"/>
        <w:jc w:val="center"/>
        <w:rPr>
          <w:rFonts w:ascii="Helvetica" w:hAnsi="Helvetica" w:cs="Helvetica"/>
          <w:spacing w:val="10"/>
        </w:rPr>
      </w:pPr>
      <w:r w:rsidRPr="000C06D6">
        <w:rPr>
          <w:rFonts w:ascii="Helvetica" w:hAnsi="Helvetica" w:cs="Helvetica"/>
          <w:spacing w:val="10"/>
        </w:rPr>
        <w:t>Decreto nº 65.812, de 23 de junho de 2021</w:t>
      </w:r>
    </w:p>
    <w:p w14:paraId="6E031B15" w14:textId="0832F309" w:rsidR="000C06D6" w:rsidRDefault="000C06D6" w:rsidP="000C06D6">
      <w:pPr>
        <w:spacing w:before="60" w:after="60" w:line="240" w:lineRule="auto"/>
        <w:jc w:val="center"/>
        <w:rPr>
          <w:rFonts w:ascii="Helvetica" w:hAnsi="Helvetica" w:cs="Helvetica"/>
          <w:spacing w:val="10"/>
        </w:rPr>
      </w:pPr>
    </w:p>
    <w:p w14:paraId="25A2643B" w14:textId="61EBFB9B" w:rsidR="000C06D6" w:rsidRDefault="000C06D6" w:rsidP="000C06D6">
      <w:pPr>
        <w:spacing w:before="60" w:after="60" w:line="240" w:lineRule="auto"/>
        <w:jc w:val="center"/>
        <w:rPr>
          <w:rFonts w:ascii="Helvetica" w:hAnsi="Helvetica" w:cs="Helvetica"/>
          <w:spacing w:val="10"/>
        </w:rPr>
      </w:pPr>
    </w:p>
    <w:p w14:paraId="352050C9" w14:textId="33C802F1" w:rsidR="000C06D6" w:rsidRDefault="000C06D6" w:rsidP="000C06D6">
      <w:pPr>
        <w:spacing w:before="60" w:after="60" w:line="240" w:lineRule="auto"/>
        <w:jc w:val="center"/>
        <w:rPr>
          <w:rFonts w:ascii="Helvetica" w:hAnsi="Helvetica" w:cs="Helvetica"/>
          <w:spacing w:val="10"/>
        </w:rPr>
      </w:pPr>
    </w:p>
    <w:p w14:paraId="1B259BD0" w14:textId="0CD74040" w:rsidR="000C06D6" w:rsidRDefault="000C06D6" w:rsidP="000C06D6">
      <w:pPr>
        <w:spacing w:before="60" w:after="60" w:line="240" w:lineRule="auto"/>
        <w:jc w:val="center"/>
        <w:rPr>
          <w:rFonts w:ascii="Helvetica" w:hAnsi="Helvetica" w:cs="Helvetica"/>
          <w:spacing w:val="10"/>
        </w:rPr>
      </w:pPr>
    </w:p>
    <w:p w14:paraId="38C887E1" w14:textId="00119829" w:rsidR="000C06D6" w:rsidRDefault="000C06D6" w:rsidP="000C06D6">
      <w:pPr>
        <w:spacing w:before="60" w:after="60" w:line="240" w:lineRule="auto"/>
        <w:jc w:val="center"/>
        <w:rPr>
          <w:rFonts w:ascii="Helvetica" w:hAnsi="Helvetica" w:cs="Helvetica"/>
          <w:spacing w:val="10"/>
        </w:rPr>
      </w:pPr>
    </w:p>
    <w:p w14:paraId="3E071311" w14:textId="30735988" w:rsidR="000C06D6" w:rsidRDefault="000C06D6" w:rsidP="000C06D6">
      <w:pPr>
        <w:spacing w:before="60" w:after="60" w:line="240" w:lineRule="auto"/>
        <w:jc w:val="center"/>
        <w:rPr>
          <w:rFonts w:ascii="Helvetica" w:hAnsi="Helvetica" w:cs="Helvetica"/>
          <w:spacing w:val="10"/>
        </w:rPr>
      </w:pPr>
    </w:p>
    <w:p w14:paraId="543E7C2A" w14:textId="7C2E3537" w:rsidR="000C06D6" w:rsidRDefault="000C06D6" w:rsidP="000C06D6">
      <w:pPr>
        <w:spacing w:before="60" w:after="60" w:line="240" w:lineRule="auto"/>
        <w:jc w:val="center"/>
        <w:rPr>
          <w:rFonts w:ascii="Helvetica" w:hAnsi="Helvetica" w:cs="Helvetica"/>
          <w:spacing w:val="10"/>
        </w:rPr>
      </w:pPr>
    </w:p>
    <w:p w14:paraId="13BC76A5" w14:textId="40204E90" w:rsidR="000C06D6" w:rsidRDefault="000C06D6" w:rsidP="000C06D6">
      <w:pPr>
        <w:spacing w:before="60" w:after="60" w:line="240" w:lineRule="auto"/>
        <w:jc w:val="center"/>
        <w:rPr>
          <w:rFonts w:ascii="Helvetica" w:hAnsi="Helvetica" w:cs="Helvetica"/>
          <w:spacing w:val="10"/>
        </w:rPr>
      </w:pPr>
    </w:p>
    <w:p w14:paraId="3272D41D" w14:textId="7A40224A" w:rsidR="000C06D6" w:rsidRDefault="000C06D6" w:rsidP="000C06D6">
      <w:pPr>
        <w:spacing w:before="60" w:after="60" w:line="240" w:lineRule="auto"/>
        <w:jc w:val="center"/>
        <w:rPr>
          <w:rFonts w:ascii="Helvetica" w:hAnsi="Helvetica" w:cs="Helvetica"/>
          <w:spacing w:val="10"/>
        </w:rPr>
      </w:pPr>
    </w:p>
    <w:p w14:paraId="09707536" w14:textId="3A4D43B4" w:rsidR="000C06D6" w:rsidRDefault="000C06D6" w:rsidP="000C06D6">
      <w:pPr>
        <w:spacing w:before="60" w:after="60" w:line="240" w:lineRule="auto"/>
        <w:jc w:val="center"/>
        <w:rPr>
          <w:rFonts w:ascii="Helvetica" w:hAnsi="Helvetica" w:cs="Helvetica"/>
          <w:spacing w:val="10"/>
        </w:rPr>
      </w:pPr>
    </w:p>
    <w:p w14:paraId="412B14E0" w14:textId="2CCCAFF7" w:rsidR="000C06D6" w:rsidRDefault="000C06D6" w:rsidP="000C06D6">
      <w:pPr>
        <w:spacing w:before="60" w:after="60" w:line="240" w:lineRule="auto"/>
        <w:jc w:val="center"/>
        <w:rPr>
          <w:rFonts w:ascii="Helvetica" w:hAnsi="Helvetica" w:cs="Helvetica"/>
          <w:spacing w:val="10"/>
        </w:rPr>
      </w:pPr>
    </w:p>
    <w:p w14:paraId="4387615C" w14:textId="3BAEDCF7" w:rsidR="000C06D6" w:rsidRDefault="000C06D6" w:rsidP="000C06D6">
      <w:pPr>
        <w:spacing w:before="60" w:after="60" w:line="240" w:lineRule="auto"/>
        <w:jc w:val="center"/>
        <w:rPr>
          <w:rFonts w:ascii="Helvetica" w:hAnsi="Helvetica" w:cs="Helvetica"/>
          <w:spacing w:val="1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5670"/>
      </w:tblGrid>
      <w:tr w:rsidR="000C06D6" w14:paraId="4B12B049" w14:textId="77777777" w:rsidTr="000C06D6">
        <w:tc>
          <w:tcPr>
            <w:tcW w:w="3573" w:type="dxa"/>
            <w:tcBorders>
              <w:top w:val="single" w:sz="4" w:space="0" w:color="auto"/>
              <w:left w:val="single" w:sz="4" w:space="0" w:color="auto"/>
              <w:bottom w:val="single" w:sz="4" w:space="0" w:color="auto"/>
              <w:right w:val="single" w:sz="4" w:space="0" w:color="auto"/>
            </w:tcBorders>
            <w:hideMark/>
          </w:tcPr>
          <w:p w14:paraId="5E3BD9D9" w14:textId="77777777" w:rsidR="000C06D6" w:rsidRPr="000C06D6" w:rsidRDefault="000C06D6">
            <w:pPr>
              <w:spacing w:line="256" w:lineRule="auto"/>
              <w:ind w:right="-1"/>
              <w:rPr>
                <w:rFonts w:ascii="Helvetica" w:hAnsi="Helvetica" w:cs="Helvetica"/>
                <w:spacing w:val="10"/>
                <w:sz w:val="16"/>
                <w:szCs w:val="16"/>
              </w:rPr>
            </w:pPr>
            <w:r w:rsidRPr="000C06D6">
              <w:rPr>
                <w:rFonts w:ascii="Helvetica" w:hAnsi="Helvetica" w:cs="Helvetica"/>
                <w:spacing w:val="10"/>
                <w:sz w:val="16"/>
                <w:szCs w:val="16"/>
              </w:rPr>
              <w:lastRenderedPageBreak/>
              <w:t>Ação</w:t>
            </w:r>
          </w:p>
        </w:tc>
        <w:tc>
          <w:tcPr>
            <w:tcW w:w="5670" w:type="dxa"/>
            <w:tcBorders>
              <w:top w:val="single" w:sz="4" w:space="0" w:color="auto"/>
              <w:left w:val="single" w:sz="4" w:space="0" w:color="auto"/>
              <w:bottom w:val="single" w:sz="4" w:space="0" w:color="auto"/>
              <w:right w:val="single" w:sz="4" w:space="0" w:color="auto"/>
            </w:tcBorders>
            <w:hideMark/>
          </w:tcPr>
          <w:p w14:paraId="39213C4A" w14:textId="77777777" w:rsidR="000C06D6" w:rsidRPr="000C06D6" w:rsidRDefault="000C06D6">
            <w:pPr>
              <w:spacing w:line="256" w:lineRule="auto"/>
              <w:ind w:left="34" w:right="-1"/>
              <w:rPr>
                <w:rFonts w:ascii="Helvetica" w:hAnsi="Helvetica" w:cs="Helvetica"/>
                <w:spacing w:val="10"/>
                <w:sz w:val="16"/>
                <w:szCs w:val="16"/>
              </w:rPr>
            </w:pPr>
            <w:r w:rsidRPr="000C06D6">
              <w:rPr>
                <w:rFonts w:ascii="Helvetica" w:hAnsi="Helvetica" w:cs="Helvetica"/>
                <w:spacing w:val="10"/>
                <w:sz w:val="16"/>
                <w:szCs w:val="16"/>
              </w:rPr>
              <w:t>Bolsa do Povo Educação</w:t>
            </w:r>
          </w:p>
        </w:tc>
      </w:tr>
      <w:tr w:rsidR="000C06D6" w14:paraId="05FA718F" w14:textId="77777777" w:rsidTr="000C06D6">
        <w:tc>
          <w:tcPr>
            <w:tcW w:w="3573" w:type="dxa"/>
            <w:tcBorders>
              <w:top w:val="single" w:sz="4" w:space="0" w:color="auto"/>
              <w:left w:val="single" w:sz="4" w:space="0" w:color="auto"/>
              <w:bottom w:val="single" w:sz="4" w:space="0" w:color="auto"/>
              <w:right w:val="single" w:sz="4" w:space="0" w:color="auto"/>
            </w:tcBorders>
            <w:hideMark/>
          </w:tcPr>
          <w:p w14:paraId="2701AC59" w14:textId="77777777" w:rsidR="000C06D6" w:rsidRPr="000C06D6" w:rsidRDefault="000C06D6">
            <w:pPr>
              <w:spacing w:line="256" w:lineRule="auto"/>
              <w:ind w:right="-1"/>
              <w:rPr>
                <w:rFonts w:ascii="Helvetica" w:hAnsi="Helvetica" w:cs="Helvetica"/>
                <w:spacing w:val="10"/>
                <w:sz w:val="16"/>
                <w:szCs w:val="16"/>
              </w:rPr>
            </w:pPr>
            <w:r w:rsidRPr="000C06D6">
              <w:rPr>
                <w:rFonts w:ascii="Helvetica" w:hAnsi="Helvetica" w:cs="Helvetica"/>
                <w:spacing w:val="10"/>
                <w:sz w:val="16"/>
                <w:szCs w:val="16"/>
              </w:rPr>
              <w:t>Eixos programáticos</w:t>
            </w:r>
          </w:p>
        </w:tc>
        <w:tc>
          <w:tcPr>
            <w:tcW w:w="5670" w:type="dxa"/>
            <w:tcBorders>
              <w:top w:val="single" w:sz="4" w:space="0" w:color="auto"/>
              <w:left w:val="single" w:sz="4" w:space="0" w:color="auto"/>
              <w:bottom w:val="single" w:sz="4" w:space="0" w:color="auto"/>
              <w:right w:val="single" w:sz="4" w:space="0" w:color="auto"/>
            </w:tcBorders>
            <w:hideMark/>
          </w:tcPr>
          <w:p w14:paraId="063DA548" w14:textId="77777777" w:rsidR="000C06D6" w:rsidRPr="000C06D6" w:rsidRDefault="000C06D6">
            <w:pPr>
              <w:spacing w:line="256" w:lineRule="auto"/>
              <w:ind w:left="34" w:right="-1"/>
              <w:rPr>
                <w:rFonts w:ascii="Helvetica" w:hAnsi="Helvetica" w:cs="Helvetica"/>
                <w:spacing w:val="10"/>
                <w:sz w:val="16"/>
                <w:szCs w:val="16"/>
              </w:rPr>
            </w:pPr>
            <w:r w:rsidRPr="000C06D6">
              <w:rPr>
                <w:rFonts w:ascii="Helvetica" w:hAnsi="Helvetica" w:cs="Helvetica"/>
                <w:spacing w:val="10"/>
                <w:sz w:val="16"/>
                <w:szCs w:val="16"/>
              </w:rPr>
              <w:t>Educação e Trabalho</w:t>
            </w:r>
          </w:p>
        </w:tc>
      </w:tr>
      <w:tr w:rsidR="000C06D6" w14:paraId="62A62CAC" w14:textId="77777777" w:rsidTr="000C06D6">
        <w:tc>
          <w:tcPr>
            <w:tcW w:w="3573" w:type="dxa"/>
            <w:tcBorders>
              <w:top w:val="single" w:sz="4" w:space="0" w:color="auto"/>
              <w:left w:val="single" w:sz="4" w:space="0" w:color="auto"/>
              <w:bottom w:val="single" w:sz="4" w:space="0" w:color="auto"/>
              <w:right w:val="single" w:sz="4" w:space="0" w:color="auto"/>
            </w:tcBorders>
            <w:hideMark/>
          </w:tcPr>
          <w:p w14:paraId="73E3297A" w14:textId="77777777" w:rsidR="000C06D6" w:rsidRPr="000C06D6" w:rsidRDefault="000C06D6">
            <w:pPr>
              <w:spacing w:line="256" w:lineRule="auto"/>
              <w:ind w:right="-1"/>
              <w:rPr>
                <w:rFonts w:ascii="Helvetica" w:hAnsi="Helvetica" w:cs="Helvetica"/>
                <w:spacing w:val="10"/>
                <w:sz w:val="16"/>
                <w:szCs w:val="16"/>
              </w:rPr>
            </w:pPr>
            <w:r w:rsidRPr="000C06D6">
              <w:rPr>
                <w:rFonts w:ascii="Helvetica" w:hAnsi="Helvetica" w:cs="Helvetica"/>
                <w:spacing w:val="10"/>
                <w:sz w:val="16"/>
                <w:szCs w:val="16"/>
              </w:rPr>
              <w:t>Secretaria de Estado responsável</w:t>
            </w:r>
          </w:p>
        </w:tc>
        <w:tc>
          <w:tcPr>
            <w:tcW w:w="5670" w:type="dxa"/>
            <w:tcBorders>
              <w:top w:val="single" w:sz="4" w:space="0" w:color="auto"/>
              <w:left w:val="single" w:sz="4" w:space="0" w:color="auto"/>
              <w:bottom w:val="single" w:sz="4" w:space="0" w:color="auto"/>
              <w:right w:val="single" w:sz="4" w:space="0" w:color="auto"/>
            </w:tcBorders>
            <w:hideMark/>
          </w:tcPr>
          <w:p w14:paraId="6CBB25CD" w14:textId="77777777" w:rsidR="000C06D6" w:rsidRPr="000C06D6" w:rsidRDefault="000C06D6">
            <w:pPr>
              <w:spacing w:line="256" w:lineRule="auto"/>
              <w:ind w:left="34" w:right="-1"/>
              <w:rPr>
                <w:rFonts w:ascii="Helvetica" w:hAnsi="Helvetica" w:cs="Helvetica"/>
                <w:spacing w:val="10"/>
                <w:sz w:val="16"/>
                <w:szCs w:val="16"/>
              </w:rPr>
            </w:pPr>
            <w:r w:rsidRPr="000C06D6">
              <w:rPr>
                <w:rFonts w:ascii="Helvetica" w:hAnsi="Helvetica" w:cs="Helvetica"/>
                <w:spacing w:val="10"/>
                <w:sz w:val="16"/>
                <w:szCs w:val="16"/>
              </w:rPr>
              <w:t>Secretaria da Educação</w:t>
            </w:r>
          </w:p>
        </w:tc>
      </w:tr>
      <w:tr w:rsidR="000C06D6" w14:paraId="7BC525FA" w14:textId="77777777" w:rsidTr="000C06D6">
        <w:tc>
          <w:tcPr>
            <w:tcW w:w="3573" w:type="dxa"/>
            <w:tcBorders>
              <w:top w:val="single" w:sz="4" w:space="0" w:color="auto"/>
              <w:left w:val="single" w:sz="4" w:space="0" w:color="auto"/>
              <w:bottom w:val="single" w:sz="4" w:space="0" w:color="auto"/>
              <w:right w:val="single" w:sz="4" w:space="0" w:color="auto"/>
            </w:tcBorders>
            <w:hideMark/>
          </w:tcPr>
          <w:p w14:paraId="1C0C9E6D" w14:textId="77777777" w:rsidR="000C06D6" w:rsidRPr="000C06D6" w:rsidRDefault="000C06D6">
            <w:pPr>
              <w:spacing w:line="256" w:lineRule="auto"/>
              <w:rPr>
                <w:rFonts w:ascii="Helvetica" w:hAnsi="Helvetica" w:cs="Helvetica"/>
                <w:spacing w:val="10"/>
                <w:sz w:val="16"/>
                <w:szCs w:val="16"/>
              </w:rPr>
            </w:pPr>
            <w:r w:rsidRPr="000C06D6">
              <w:rPr>
                <w:rFonts w:ascii="Helvetica" w:hAnsi="Helvetica" w:cs="Helvetica"/>
                <w:spacing w:val="10"/>
                <w:sz w:val="16"/>
                <w:szCs w:val="16"/>
              </w:rPr>
              <w:t>Beneficiário</w:t>
            </w:r>
          </w:p>
        </w:tc>
        <w:tc>
          <w:tcPr>
            <w:tcW w:w="5670" w:type="dxa"/>
            <w:tcBorders>
              <w:top w:val="single" w:sz="4" w:space="0" w:color="auto"/>
              <w:left w:val="single" w:sz="4" w:space="0" w:color="auto"/>
              <w:bottom w:val="single" w:sz="4" w:space="0" w:color="auto"/>
              <w:right w:val="single" w:sz="4" w:space="0" w:color="auto"/>
            </w:tcBorders>
            <w:hideMark/>
          </w:tcPr>
          <w:p w14:paraId="2B266A34" w14:textId="77777777" w:rsidR="000C06D6" w:rsidRPr="000C06D6" w:rsidRDefault="000C06D6">
            <w:pPr>
              <w:spacing w:line="256" w:lineRule="auto"/>
              <w:ind w:left="34" w:right="-1"/>
              <w:rPr>
                <w:rFonts w:ascii="Helvetica" w:hAnsi="Helvetica" w:cs="Helvetica"/>
                <w:sz w:val="16"/>
                <w:szCs w:val="16"/>
              </w:rPr>
            </w:pPr>
            <w:r w:rsidRPr="000C06D6">
              <w:rPr>
                <w:rFonts w:ascii="Helvetica" w:hAnsi="Helvetica" w:cs="Helvetica"/>
                <w:color w:val="000000"/>
                <w:sz w:val="16"/>
                <w:szCs w:val="16"/>
                <w:shd w:val="clear" w:color="auto" w:fill="FFFFFF"/>
              </w:rPr>
              <w:t>Família que contar com um ou mais integrantes matriculados na rede estadual de ensino, dando-se preferência, na concessão do benefício, àquelas com renda mensal “per capita” de até R$ 178,00 (cento e setenta e oito reais), observado o disposto em resolução do Secretário da Educação.</w:t>
            </w:r>
          </w:p>
        </w:tc>
      </w:tr>
      <w:tr w:rsidR="000C06D6" w14:paraId="566EF339" w14:textId="77777777" w:rsidTr="000C06D6">
        <w:tc>
          <w:tcPr>
            <w:tcW w:w="3573" w:type="dxa"/>
            <w:tcBorders>
              <w:top w:val="single" w:sz="4" w:space="0" w:color="auto"/>
              <w:left w:val="single" w:sz="4" w:space="0" w:color="auto"/>
              <w:bottom w:val="single" w:sz="4" w:space="0" w:color="auto"/>
              <w:right w:val="single" w:sz="4" w:space="0" w:color="auto"/>
            </w:tcBorders>
            <w:hideMark/>
          </w:tcPr>
          <w:p w14:paraId="554EE6E6" w14:textId="77777777" w:rsidR="000C06D6" w:rsidRPr="000C06D6" w:rsidRDefault="000C06D6">
            <w:pPr>
              <w:spacing w:line="256" w:lineRule="auto"/>
              <w:ind w:right="-1"/>
              <w:rPr>
                <w:rFonts w:ascii="Helvetica" w:hAnsi="Helvetica" w:cs="Helvetica"/>
                <w:spacing w:val="10"/>
                <w:sz w:val="16"/>
                <w:szCs w:val="16"/>
              </w:rPr>
            </w:pPr>
            <w:r w:rsidRPr="000C06D6">
              <w:rPr>
                <w:rFonts w:ascii="Helvetica" w:hAnsi="Helvetica" w:cs="Helvetica"/>
                <w:spacing w:val="10"/>
                <w:sz w:val="16"/>
                <w:szCs w:val="16"/>
              </w:rPr>
              <w:t>Valor por beneficiário</w:t>
            </w:r>
          </w:p>
        </w:tc>
        <w:tc>
          <w:tcPr>
            <w:tcW w:w="5670" w:type="dxa"/>
            <w:tcBorders>
              <w:top w:val="single" w:sz="4" w:space="0" w:color="auto"/>
              <w:left w:val="single" w:sz="4" w:space="0" w:color="auto"/>
              <w:bottom w:val="single" w:sz="4" w:space="0" w:color="auto"/>
              <w:right w:val="single" w:sz="4" w:space="0" w:color="auto"/>
            </w:tcBorders>
            <w:hideMark/>
          </w:tcPr>
          <w:p w14:paraId="4EFCE1CA" w14:textId="77777777" w:rsidR="000C06D6" w:rsidRPr="000C06D6" w:rsidRDefault="000C06D6">
            <w:pPr>
              <w:spacing w:line="256" w:lineRule="auto"/>
              <w:ind w:left="34" w:right="-1"/>
              <w:rPr>
                <w:rFonts w:ascii="Helvetica" w:hAnsi="Helvetica" w:cs="Helvetica"/>
                <w:spacing w:val="10"/>
                <w:sz w:val="16"/>
                <w:szCs w:val="16"/>
              </w:rPr>
            </w:pPr>
            <w:r w:rsidRPr="000C06D6">
              <w:rPr>
                <w:rFonts w:ascii="Helvetica" w:hAnsi="Helvetica" w:cs="Helvetica"/>
                <w:spacing w:val="10"/>
                <w:sz w:val="16"/>
                <w:szCs w:val="16"/>
              </w:rPr>
              <w:t>R$ 500,00 (quinhentos reais) por mês.</w:t>
            </w:r>
          </w:p>
        </w:tc>
      </w:tr>
      <w:tr w:rsidR="000C06D6" w14:paraId="45E33EF6" w14:textId="77777777" w:rsidTr="000C06D6">
        <w:tc>
          <w:tcPr>
            <w:tcW w:w="3573" w:type="dxa"/>
            <w:tcBorders>
              <w:top w:val="single" w:sz="4" w:space="0" w:color="auto"/>
              <w:left w:val="single" w:sz="4" w:space="0" w:color="auto"/>
              <w:bottom w:val="single" w:sz="4" w:space="0" w:color="auto"/>
              <w:right w:val="single" w:sz="4" w:space="0" w:color="auto"/>
            </w:tcBorders>
            <w:hideMark/>
          </w:tcPr>
          <w:p w14:paraId="7975C0AC" w14:textId="77777777" w:rsidR="000C06D6" w:rsidRPr="000C06D6" w:rsidRDefault="000C06D6">
            <w:pPr>
              <w:spacing w:line="256" w:lineRule="auto"/>
              <w:ind w:right="-1"/>
              <w:rPr>
                <w:rFonts w:ascii="Helvetica" w:hAnsi="Helvetica" w:cs="Helvetica"/>
                <w:spacing w:val="10"/>
                <w:sz w:val="16"/>
                <w:szCs w:val="16"/>
              </w:rPr>
            </w:pPr>
            <w:r w:rsidRPr="000C06D6">
              <w:rPr>
                <w:rFonts w:ascii="Helvetica" w:hAnsi="Helvetica" w:cs="Helvetica"/>
                <w:spacing w:val="10"/>
                <w:sz w:val="16"/>
                <w:szCs w:val="16"/>
              </w:rPr>
              <w:t>Condição para pagamento do benefício</w:t>
            </w:r>
          </w:p>
        </w:tc>
        <w:tc>
          <w:tcPr>
            <w:tcW w:w="5670" w:type="dxa"/>
            <w:tcBorders>
              <w:top w:val="single" w:sz="4" w:space="0" w:color="auto"/>
              <w:left w:val="single" w:sz="4" w:space="0" w:color="auto"/>
              <w:bottom w:val="single" w:sz="4" w:space="0" w:color="auto"/>
              <w:right w:val="single" w:sz="4" w:space="0" w:color="auto"/>
            </w:tcBorders>
            <w:hideMark/>
          </w:tcPr>
          <w:p w14:paraId="356D8710" w14:textId="77777777" w:rsidR="000C06D6" w:rsidRPr="000C06D6" w:rsidRDefault="000C06D6">
            <w:pPr>
              <w:pStyle w:val="Padro"/>
              <w:spacing w:after="120" w:line="256" w:lineRule="auto"/>
              <w:ind w:left="34"/>
              <w:rPr>
                <w:rFonts w:ascii="Helvetica" w:hAnsi="Helvetica" w:cs="Helvetica"/>
                <w:spacing w:val="10"/>
                <w:sz w:val="16"/>
                <w:szCs w:val="16"/>
              </w:rPr>
            </w:pPr>
            <w:r w:rsidRPr="000C06D6">
              <w:rPr>
                <w:rFonts w:ascii="Helvetica" w:hAnsi="Helvetica" w:cs="Helvetica"/>
                <w:sz w:val="16"/>
                <w:szCs w:val="16"/>
              </w:rPr>
              <w:t>O representante legal de aluno matriculado na rede estadual de ensino deverá prestar colaboração em unidade escolar da rede pública estadual, preferencialmente no auxílio ao cumprimento de protocolos sanitários para prevenção da COVID-19, durante 4 (quatro) horas diárias, totalizando 20 (vinte) horas semanais, incluído nesse período o tempo destinado ao seu treinamento, sendo-lhe vedado substituir servidores públicos, conforme detalhamento em resolução do Secretário da Educação.</w:t>
            </w:r>
          </w:p>
        </w:tc>
      </w:tr>
      <w:tr w:rsidR="000C06D6" w14:paraId="1F14493C" w14:textId="77777777" w:rsidTr="000C06D6">
        <w:trPr>
          <w:trHeight w:val="877"/>
        </w:trPr>
        <w:tc>
          <w:tcPr>
            <w:tcW w:w="3573" w:type="dxa"/>
            <w:tcBorders>
              <w:top w:val="single" w:sz="4" w:space="0" w:color="auto"/>
              <w:left w:val="single" w:sz="4" w:space="0" w:color="auto"/>
              <w:bottom w:val="single" w:sz="4" w:space="0" w:color="auto"/>
              <w:right w:val="single" w:sz="4" w:space="0" w:color="auto"/>
            </w:tcBorders>
            <w:hideMark/>
          </w:tcPr>
          <w:p w14:paraId="39F34E84" w14:textId="77777777" w:rsidR="000C06D6" w:rsidRPr="000C06D6" w:rsidRDefault="000C06D6">
            <w:pPr>
              <w:spacing w:line="256" w:lineRule="auto"/>
              <w:ind w:right="-1"/>
              <w:rPr>
                <w:rFonts w:ascii="Helvetica" w:hAnsi="Helvetica" w:cs="Helvetica"/>
                <w:spacing w:val="10"/>
                <w:sz w:val="16"/>
                <w:szCs w:val="16"/>
              </w:rPr>
            </w:pPr>
            <w:r w:rsidRPr="000C06D6">
              <w:rPr>
                <w:rFonts w:ascii="Helvetica" w:hAnsi="Helvetica" w:cs="Helvetica"/>
                <w:spacing w:val="10"/>
                <w:sz w:val="16"/>
                <w:szCs w:val="16"/>
              </w:rPr>
              <w:t>Duração do benefício</w:t>
            </w:r>
          </w:p>
        </w:tc>
        <w:tc>
          <w:tcPr>
            <w:tcW w:w="5670" w:type="dxa"/>
            <w:tcBorders>
              <w:top w:val="single" w:sz="4" w:space="0" w:color="auto"/>
              <w:left w:val="single" w:sz="4" w:space="0" w:color="auto"/>
              <w:bottom w:val="single" w:sz="4" w:space="0" w:color="auto"/>
              <w:right w:val="single" w:sz="4" w:space="0" w:color="auto"/>
            </w:tcBorders>
            <w:hideMark/>
          </w:tcPr>
          <w:p w14:paraId="4617EE0D" w14:textId="77777777" w:rsidR="000C06D6" w:rsidRPr="000C06D6" w:rsidRDefault="000C06D6">
            <w:pPr>
              <w:pStyle w:val="Padro"/>
              <w:spacing w:after="120" w:line="256" w:lineRule="auto"/>
              <w:ind w:left="34"/>
              <w:rPr>
                <w:rFonts w:ascii="Helvetica" w:hAnsi="Helvetica" w:cs="Helvetica"/>
                <w:spacing w:val="10"/>
                <w:sz w:val="16"/>
                <w:szCs w:val="16"/>
              </w:rPr>
            </w:pPr>
            <w:r w:rsidRPr="000C06D6">
              <w:rPr>
                <w:rFonts w:ascii="Helvetica" w:hAnsi="Helvetica" w:cs="Helvetica"/>
                <w:sz w:val="16"/>
                <w:szCs w:val="16"/>
              </w:rPr>
              <w:t>6 (seis) meses, prorrogáveis por iguais períodos, por ato fundamentado do Secretário da Educação.</w:t>
            </w:r>
          </w:p>
        </w:tc>
      </w:tr>
      <w:tr w:rsidR="000C06D6" w14:paraId="07CAEA76" w14:textId="77777777" w:rsidTr="000C06D6">
        <w:tc>
          <w:tcPr>
            <w:tcW w:w="3573" w:type="dxa"/>
            <w:tcBorders>
              <w:top w:val="single" w:sz="4" w:space="0" w:color="auto"/>
              <w:left w:val="single" w:sz="4" w:space="0" w:color="auto"/>
              <w:bottom w:val="single" w:sz="4" w:space="0" w:color="auto"/>
              <w:right w:val="single" w:sz="4" w:space="0" w:color="auto"/>
            </w:tcBorders>
            <w:hideMark/>
          </w:tcPr>
          <w:p w14:paraId="684A3479" w14:textId="77777777" w:rsidR="000C06D6" w:rsidRPr="000C06D6" w:rsidRDefault="000C06D6">
            <w:pPr>
              <w:spacing w:line="256" w:lineRule="auto"/>
              <w:ind w:right="-1"/>
              <w:rPr>
                <w:rFonts w:ascii="Helvetica" w:hAnsi="Helvetica" w:cs="Helvetica"/>
                <w:spacing w:val="10"/>
                <w:sz w:val="16"/>
                <w:szCs w:val="16"/>
              </w:rPr>
            </w:pPr>
            <w:r w:rsidRPr="000C06D6">
              <w:rPr>
                <w:rFonts w:ascii="Helvetica" w:hAnsi="Helvetica" w:cs="Helvetica"/>
                <w:spacing w:val="10"/>
                <w:sz w:val="16"/>
                <w:szCs w:val="16"/>
              </w:rPr>
              <w:t>Vigência do benefício</w:t>
            </w:r>
          </w:p>
        </w:tc>
        <w:tc>
          <w:tcPr>
            <w:tcW w:w="5670" w:type="dxa"/>
            <w:tcBorders>
              <w:top w:val="single" w:sz="4" w:space="0" w:color="auto"/>
              <w:left w:val="single" w:sz="4" w:space="0" w:color="auto"/>
              <w:bottom w:val="single" w:sz="4" w:space="0" w:color="auto"/>
              <w:right w:val="single" w:sz="4" w:space="0" w:color="auto"/>
            </w:tcBorders>
            <w:hideMark/>
          </w:tcPr>
          <w:p w14:paraId="01CBF036" w14:textId="77777777" w:rsidR="000C06D6" w:rsidRPr="000C06D6" w:rsidRDefault="000C06D6">
            <w:pPr>
              <w:spacing w:line="256" w:lineRule="auto"/>
              <w:ind w:left="34" w:right="-1"/>
              <w:rPr>
                <w:rFonts w:ascii="Helvetica" w:hAnsi="Helvetica" w:cs="Helvetica"/>
                <w:spacing w:val="10"/>
                <w:sz w:val="16"/>
                <w:szCs w:val="16"/>
              </w:rPr>
            </w:pPr>
            <w:r w:rsidRPr="000C06D6">
              <w:rPr>
                <w:rFonts w:ascii="Helvetica" w:hAnsi="Helvetica" w:cs="Helvetica"/>
                <w:spacing w:val="10"/>
                <w:sz w:val="16"/>
                <w:szCs w:val="16"/>
              </w:rPr>
              <w:t>Exercícios de 2021 e 2022</w:t>
            </w:r>
          </w:p>
        </w:tc>
      </w:tr>
    </w:tbl>
    <w:p w14:paraId="4DF04844" w14:textId="77777777" w:rsidR="000C06D6" w:rsidRPr="007D48B6" w:rsidRDefault="000C06D6" w:rsidP="007D48B6">
      <w:pPr>
        <w:pStyle w:val="TextosemFormatao"/>
        <w:spacing w:before="60" w:after="60"/>
        <w:ind w:firstLine="1418"/>
        <w:jc w:val="both"/>
        <w:rPr>
          <w:rFonts w:ascii="Helvetica" w:hAnsi="Helvetica" w:cs="Helvetica"/>
          <w:sz w:val="22"/>
          <w:szCs w:val="22"/>
        </w:rPr>
      </w:pPr>
    </w:p>
    <w:p w14:paraId="3C50E3DD" w14:textId="77777777" w:rsidR="0011569E" w:rsidRPr="007D48B6" w:rsidRDefault="0011569E">
      <w:pPr>
        <w:rPr>
          <w:rFonts w:ascii="Helvetica" w:hAnsi="Helvetica" w:cs="Helvetica"/>
          <w:sz w:val="18"/>
          <w:szCs w:val="18"/>
        </w:rPr>
      </w:pPr>
    </w:p>
    <w:sectPr w:rsidR="0011569E" w:rsidRPr="007D48B6" w:rsidSect="00903C75">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B6"/>
    <w:rsid w:val="000C06D6"/>
    <w:rsid w:val="000C2DAF"/>
    <w:rsid w:val="0011569E"/>
    <w:rsid w:val="00702D17"/>
    <w:rsid w:val="007D48B6"/>
    <w:rsid w:val="007F32D8"/>
    <w:rsid w:val="00903C75"/>
    <w:rsid w:val="009E6FDF"/>
    <w:rsid w:val="00C56C18"/>
    <w:rsid w:val="00D642AA"/>
    <w:rsid w:val="00F80748"/>
    <w:rsid w:val="00F972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053CA"/>
  <w15:chartTrackingRefBased/>
  <w15:docId w15:val="{1567CE56-2D37-438D-B07D-5EAC72B3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7D48B6"/>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rsid w:val="007D48B6"/>
    <w:rPr>
      <w:rFonts w:ascii="Consolas" w:hAnsi="Consolas" w:cs="Consolas"/>
      <w:sz w:val="21"/>
      <w:szCs w:val="21"/>
    </w:rPr>
  </w:style>
  <w:style w:type="paragraph" w:customStyle="1" w:styleId="Padro">
    <w:name w:val="Padrão"/>
    <w:qFormat/>
    <w:rsid w:val="000C06D6"/>
    <w:pPr>
      <w:suppressAutoHyphens/>
      <w:spacing w:after="0" w:line="240" w:lineRule="auto"/>
    </w:pPr>
    <w:rPr>
      <w:rFonts w:ascii="Times" w:eastAsia="Times New Roman" w:hAnsi="Times"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33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391</Words>
  <Characters>2117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Joice Crislayne Gonçalves da Silva</dc:creator>
  <cp:keywords/>
  <dc:description/>
  <cp:lastModifiedBy>Joice Crislayne Gonçalves da Silva</cp:lastModifiedBy>
  <cp:revision>5</cp:revision>
  <dcterms:created xsi:type="dcterms:W3CDTF">2021-07-19T12:05:00Z</dcterms:created>
  <dcterms:modified xsi:type="dcterms:W3CDTF">2021-07-19T12:58:00Z</dcterms:modified>
</cp:coreProperties>
</file>