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AF3DE" w14:textId="2E5ABE98" w:rsidR="00A66A7D" w:rsidRDefault="00A66A7D" w:rsidP="00343EDB">
      <w:pPr>
        <w:jc w:val="center"/>
        <w:rPr>
          <w:rFonts w:eastAsia="Times New Roman" w:cs="Helvetica"/>
          <w:b/>
          <w:bCs/>
          <w:color w:val="000000"/>
          <w:lang w:eastAsia="pt-BR"/>
        </w:rPr>
      </w:pPr>
      <w:r w:rsidRPr="00A66A7D">
        <w:rPr>
          <w:rFonts w:eastAsia="Times New Roman" w:cs="Helvetica"/>
          <w:b/>
          <w:bCs/>
          <w:color w:val="000000"/>
          <w:lang w:eastAsia="pt-BR"/>
        </w:rPr>
        <w:t>DECRETO Nº 66.373, DE 22 DE DEZEMBRO DE 2021</w:t>
      </w:r>
    </w:p>
    <w:p w14:paraId="6A4E978C" w14:textId="77777777" w:rsidR="00343EDB" w:rsidRPr="00A66A7D" w:rsidRDefault="00343EDB" w:rsidP="00343EDB">
      <w:pPr>
        <w:spacing w:after="0" w:line="240" w:lineRule="auto"/>
        <w:jc w:val="center"/>
        <w:rPr>
          <w:rFonts w:eastAsia="Times New Roman" w:cs="Helvetica"/>
          <w:b/>
          <w:bCs/>
          <w:color w:val="000000"/>
          <w:lang w:eastAsia="pt-BR"/>
        </w:rPr>
      </w:pPr>
    </w:p>
    <w:p w14:paraId="46FA4FAF" w14:textId="6418B6E4" w:rsidR="00A66A7D" w:rsidRDefault="00A66A7D" w:rsidP="00343EDB">
      <w:pPr>
        <w:spacing w:before="60" w:after="60" w:line="240" w:lineRule="auto"/>
        <w:ind w:left="3686"/>
        <w:jc w:val="both"/>
        <w:rPr>
          <w:rFonts w:eastAsia="Times New Roman" w:cs="Helvetica"/>
          <w:color w:val="000000"/>
          <w:lang w:eastAsia="pt-BR"/>
        </w:rPr>
      </w:pPr>
      <w:r w:rsidRPr="00A66A7D">
        <w:rPr>
          <w:rFonts w:eastAsia="Times New Roman" w:cs="Helvetica"/>
          <w:color w:val="000000"/>
          <w:lang w:eastAsia="pt-BR"/>
        </w:rPr>
        <w:t>Introduz alterações no Regulamento do Imposto sobre Operações Relativas à Circulação de Mercadorias e sobre Prestações de Serviços de Transporte Interestadual e Intermunicipal e de Comunicação - RICMS e dá outras providências</w:t>
      </w:r>
    </w:p>
    <w:p w14:paraId="232D2B49" w14:textId="77777777" w:rsidR="00343EDB" w:rsidRPr="00A66A7D" w:rsidRDefault="00343EDB" w:rsidP="00343EDB">
      <w:pPr>
        <w:spacing w:after="0" w:line="240" w:lineRule="auto"/>
        <w:jc w:val="center"/>
        <w:rPr>
          <w:rFonts w:eastAsia="Times New Roman" w:cs="Helvetica"/>
          <w:color w:val="000000"/>
          <w:lang w:eastAsia="pt-BR"/>
        </w:rPr>
      </w:pPr>
    </w:p>
    <w:p w14:paraId="0BCFC3B8" w14:textId="3C35CD96"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xml:space="preserve">RODRIGO GARCIA, </w:t>
      </w:r>
      <w:r w:rsidR="00343EDB" w:rsidRPr="00A66A7D">
        <w:rPr>
          <w:rFonts w:eastAsia="Times New Roman" w:cs="Helvetica"/>
          <w:color w:val="000000"/>
          <w:lang w:eastAsia="pt-BR"/>
        </w:rPr>
        <w:t>VICE-GOVERNADOR, EM EXERCÍCIO NO CARGO DE GOVERNADOR DO ESTADO DE SÃO PAULO,</w:t>
      </w:r>
      <w:r w:rsidRPr="00A66A7D">
        <w:rPr>
          <w:rFonts w:eastAsia="Times New Roman" w:cs="Helvetica"/>
          <w:color w:val="000000"/>
          <w:lang w:eastAsia="pt-BR"/>
        </w:rPr>
        <w:t xml:space="preserve"> no uso de suas atribuições legais e tendo em vista o disposto no artigo 8º, inciso VI, da Lei nº 6.374, de 1° de março de 1989,</w:t>
      </w:r>
    </w:p>
    <w:p w14:paraId="3C9426D6"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Decreta:</w:t>
      </w:r>
    </w:p>
    <w:p w14:paraId="1AA2B40A"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Artigo 1° - Passa a vigorar, com a redação que se segue, o Capítulo VII do Título II do Livro II do Regulamento do Imposto sobre Operações Relativas à Circulação de Mercadorias e sobre Prestações de Serviços de Transporte Interestadual e Intermunicipal e de Comunicação - RICMS, aprovado pelo Decreto 45.490, de 30 de novembro de 2000:</w:t>
      </w:r>
    </w:p>
    <w:p w14:paraId="6EE1A45E"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“CAPÍTULO VII - DAS OPERAÇÕES COM ENERGIA ELÉTRICA</w:t>
      </w:r>
    </w:p>
    <w:p w14:paraId="616BA7F4"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SEÇÃO I - DO LANÇAMENTO DO IMPOSTO</w:t>
      </w:r>
    </w:p>
    <w:p w14:paraId="7A171494"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SUBSEÇÃO I - DAS OPERAÇÕES INTERNAS</w:t>
      </w:r>
    </w:p>
    <w:p w14:paraId="627D62E8"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Artigo 425 - O lançamento do imposto incidente nas sucessivas operações internas com energia elétrica, desde a sua importação ou produção, fica diferido para o momento em que ocorrer a última operação da qual decorra a sua saída com destino a estabelecimento ou domicílio localizado no território paulista para nele ser consumida pelo destinatário.</w:t>
      </w:r>
    </w:p>
    <w:p w14:paraId="7F4842E8"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xml:space="preserve">Artigo 425-A - A responsabilidade pelo lançamento e pagamento do imposto diferido nos termos do artigo 425 fica atribuída à empresa distribuidora localizada no Estado de São Paulo, quando a energia elétrica, objeto da última operação de que trata aquele artigo, por ela praticada, for entregue, por meio da rede de distribuição por ela operada, a destinatário paulista conectado àquela rede, em razão da execução de contrato de fornecimento de energia elétrica com ela firmado sob o regime de concessão ou permissão da qual ela for titular. </w:t>
      </w:r>
    </w:p>
    <w:p w14:paraId="123BBC50"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Parágrafo único - A base de cálculo do imposto será o valor da operação, nele incluídos:</w:t>
      </w:r>
    </w:p>
    <w:p w14:paraId="18B4109F"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1. a soma de todos os valores e encargos inerentes ao consumo da energia elétrica;</w:t>
      </w:r>
    </w:p>
    <w:p w14:paraId="4EEE6925"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2. na hipótese de aplicação da tarifa binômia de fornecimento de energia elétrica, o valor correspondente à demanda medida.</w:t>
      </w:r>
    </w:p>
    <w:p w14:paraId="2B4491ED"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Artigo 425-B - A responsabilidade pelo lançamento e pagamento do imposto diferido nos termos do artigo 425 fica atribuída ao alienante da energia elétrica, localizado no Estado de São Paulo, que praticar a última operação de que trata aquele artigo, quando a energia elétrica, objeto daquela operação, for destinada a estabelecimento ou domicílio localizado no território paulista para nele ser consumida por destinatário que a tiver adquirido mediante contratos de compra e venda ou de cessão de montantes firmados em ambiente de contratação livre.</w:t>
      </w:r>
    </w:p>
    <w:p w14:paraId="009EF0A4"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xml:space="preserve">Parágrafo único - Para fins do disposto neste artigo, a base de cálculo do imposto corresponderá ao valor devido, cobrado ou pago pela energia elétrica consumida </w:t>
      </w:r>
      <w:r w:rsidRPr="00A66A7D">
        <w:rPr>
          <w:rFonts w:eastAsia="Times New Roman" w:cs="Helvetica"/>
          <w:color w:val="000000"/>
          <w:lang w:eastAsia="pt-BR"/>
        </w:rPr>
        <w:lastRenderedPageBreak/>
        <w:t>no mês de referência, observado, quanto aos encargos de conexão e de uso da rede de distribuição ou de transmissão de energia elétrica à qual o destinatário estiver conectado para fins de seu recebimento:</w:t>
      </w:r>
    </w:p>
    <w:p w14:paraId="6C827840"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1. quando o destinatário estiver conectado à rede de distribuição de energia elétrica, cabe à empresa distribuidora responsável pela operação dessa rede, na condição de contribuinte, efetuar o lançamento e pagamento do imposto relativamente ao valor dos encargos por ela cobrados do destinatário em razão da conexão e uso daquela rede;</w:t>
      </w:r>
    </w:p>
    <w:p w14:paraId="644C23B0"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2. quando o destinatário estiver conectado à rede básica de transmissão, o disposto no artigo 425-C.</w:t>
      </w:r>
    </w:p>
    <w:p w14:paraId="580206A8"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xml:space="preserve">Artigo 425-C - Na operação interna de que trata o artigo 425-B, quando o destinatário da energia elétrica estiver conectado à rede básica de transmissão, o lançamento do imposto devido sobre o valor dos encargos de conexão e de uso daquela rede, cobrados em razão daquela operação, fica diferido para o momento da entrada da energia elétrica no estabelecimento do destinatário. </w:t>
      </w:r>
    </w:p>
    <w:p w14:paraId="60C62E33"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1º - A responsabilidade pelo lançamento e pagamento do imposto diferido nos termos deste artigo fica atribuída ao destinatário da energia elétrica.</w:t>
      </w:r>
    </w:p>
    <w:p w14:paraId="2DE74C32"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2º - Para fins do disposto neste artigo, a base de cálculo do imposto corresponderá à soma dos valores dos encargos de conexão e de uso da rede básica de transmissão, e de quaisquer outros valores e encargos inerentes ao consumo da energia elétrica, cobrados do destinatário.</w:t>
      </w:r>
    </w:p>
    <w:p w14:paraId="1D62E2B2"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SUBSEÇÃO II - DAS OPERAÇÕES INTERESTADUAIS</w:t>
      </w:r>
    </w:p>
    <w:p w14:paraId="759F99E8"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xml:space="preserve">Artigo 425-D - O imposto devido na operação interestadual da qual decorra a entrada de energia elétrica no Estado de São Paulo, que não deva ser objeto de operação subsequente, decorrente da sua industrialização ou comercialização no território paulista, deverá ser lançado e pago pelo destinatário nele localizado que, na condição de contribuinte do imposto, a ele atribuída nos termos do disposto no item 4 do parágrafo único do artigo 7º da Lei nº 6.374, de 1º de março de 1989, a tiver adquirido de alienante localizado em outra Unidade Federada mediante contratos de compra e venda ou de cessão de montantes firmados em ambiente de contratação livre. </w:t>
      </w:r>
    </w:p>
    <w:p w14:paraId="06E051EB"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Parágrafo único - Para fins do disposto neste artigo, a base de cálculo do imposto corresponderá:</w:t>
      </w:r>
    </w:p>
    <w:p w14:paraId="66B368EE"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1. ao valor devido, cobrado ou pago pela energia elétrica consumida no mês de referência, quando a energia elétrica objeto da operação interestadual de que trata este artigo for entregue ao destinatário por meio de rede de distribuição à qual ele estiver conectado para esse fim, cabendo à empresa distribuidora, na condição de contribuinte, efetuar o lançamento e pagamento do imposto relativamente ao valor dos encargos por ela cobrados do destinatário em razão da conexão e do uso da rede por ela operada;</w:t>
      </w:r>
    </w:p>
    <w:p w14:paraId="0BCD5405"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2. ao valor devido, cobrado ou pago pela energia elétrica consumida no mês de referência, acrescido dos valores dos encargos de conexão e de uso da rede básica de transmissão e de quaisquer outros valores e encargos inerentes ao seu consumo, cobrados em razão da operação interestadual de que trata este artigo, quando o destinatário estiver conectado àquela rede básica para fins do recebimento da energia elétrica objeto dessa operação.</w:t>
      </w:r>
    </w:p>
    <w:p w14:paraId="5F1D0A53"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SEÇÃO II - DAS DEMAIS DISPOSIÇÕES RELACIONADAS À EMPRESA DISTRIBUIDORA</w:t>
      </w:r>
    </w:p>
    <w:p w14:paraId="7821E911"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SUBSEÇÃO I - DA SUBVENÇÃO DA TARIFA</w:t>
      </w:r>
    </w:p>
    <w:p w14:paraId="47F725FD"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lastRenderedPageBreak/>
        <w:t>Artigo 425-E - A empresa distribuidora de energia elétrica que forneça energia elétrica a consumidor ou usuário do sistema de distribuição custeado por meio de subvenção econômica, seja na forma de desconto sobre as tarifas homologadas pelo órgão regulador ou de qualquer outra forma, deverá incluir na base de cálculo dessa operação o valor da respectiva subvenção, independentemente do seu efetivo recebimento pela distribuidora, ou da forma e momento em que este ocorrer.</w:t>
      </w:r>
    </w:p>
    <w:p w14:paraId="6F793BA4"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xml:space="preserve">SUBSEÇÃO II - DA COBRANÇA OU DEVOLUÇÃO DE VALORES EM VIRTUDE DE ALTERAÇÃO DA BANDEIRA TARIFÁRIA </w:t>
      </w:r>
    </w:p>
    <w:p w14:paraId="18F1EF87"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Artigo 425-F - Na hipótese de erro de tarifação do produto em virtude de alteração da bandeira tarifária, as distribuidoras de energia elétrica deverão, conforme disciplina a ser estabelecida pela Secretaria da Fazenda e Planejamento:</w:t>
      </w:r>
    </w:p>
    <w:p w14:paraId="147EC5B8"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xml:space="preserve">I - </w:t>
      </w:r>
      <w:proofErr w:type="gramStart"/>
      <w:r w:rsidRPr="00A66A7D">
        <w:rPr>
          <w:rFonts w:eastAsia="Times New Roman" w:cs="Helvetica"/>
          <w:color w:val="000000"/>
          <w:lang w:eastAsia="pt-BR"/>
        </w:rPr>
        <w:t>quando</w:t>
      </w:r>
      <w:proofErr w:type="gramEnd"/>
      <w:r w:rsidRPr="00A66A7D">
        <w:rPr>
          <w:rFonts w:eastAsia="Times New Roman" w:cs="Helvetica"/>
          <w:color w:val="000000"/>
          <w:lang w:eastAsia="pt-BR"/>
        </w:rPr>
        <w:t xml:space="preserve"> a tarifa tiver sido aplicada em valor inferior à homologada para o período, realizar o destaque do imposto relativo à diferença no documento fiscal do período imediatamente subsequente;</w:t>
      </w:r>
    </w:p>
    <w:p w14:paraId="5E73D5BF"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xml:space="preserve">II - </w:t>
      </w:r>
      <w:proofErr w:type="gramStart"/>
      <w:r w:rsidRPr="00A66A7D">
        <w:rPr>
          <w:rFonts w:eastAsia="Times New Roman" w:cs="Helvetica"/>
          <w:color w:val="000000"/>
          <w:lang w:eastAsia="pt-BR"/>
        </w:rPr>
        <w:t>quando</w:t>
      </w:r>
      <w:proofErr w:type="gramEnd"/>
      <w:r w:rsidRPr="00A66A7D">
        <w:rPr>
          <w:rFonts w:eastAsia="Times New Roman" w:cs="Helvetica"/>
          <w:color w:val="000000"/>
          <w:lang w:eastAsia="pt-BR"/>
        </w:rPr>
        <w:t xml:space="preserve"> a tarifa tiver sido aplicada em valor superior à homologada para o período, realizar a dedução do valor do imposto relativo à diferença no documento fiscal do período imediatamente subsequente, ou outro procedimento estabelecido pela Secretaria da Fazenda e Planejamento.</w:t>
      </w:r>
    </w:p>
    <w:p w14:paraId="1CDBD92E"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1º - Os procedimentos previstos neste artigo aplicam-se exclusivamente na hipótese em que, nos termos da legislação federal, não tendo havido tempo hábil para se efetuar o faturamento com base na última bandeira tarifária divulgada ou quando a sua divulgação ocorrer no mês de sua aplicação, o faturamento referente ao consumo de energia elétrica do período tiver sido realizado com base na bandeira tarifária vigente no período anterior.</w:t>
      </w:r>
    </w:p>
    <w:p w14:paraId="3927768E"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2º - O destaque e a dedução de que tratam os incisos I e II serão calculados mediante a aplicação da alíquota referente ao mês de ocorrência do fato gerador.</w:t>
      </w:r>
    </w:p>
    <w:p w14:paraId="39FBEBF2"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SUBSEÇÃO III - DO ESTORNO DO DÉBITO</w:t>
      </w:r>
    </w:p>
    <w:p w14:paraId="10976BE6"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Artigo 425-G - Poderá a empresa distribuidora de energia elétrica, observado os procedimentos previstos em disciplina estabelecida pela Secretaria da Fazenda e Planejamento, creditar-se, independentemente de autorização, do valor do imposto debitado em Notas Fiscais/Contas de Energia Elétrica emitidas a consumidores, nas seguintes hipóteses:</w:t>
      </w:r>
    </w:p>
    <w:p w14:paraId="1C1306E3"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xml:space="preserve">I - </w:t>
      </w:r>
      <w:proofErr w:type="gramStart"/>
      <w:r w:rsidRPr="00A66A7D">
        <w:rPr>
          <w:rFonts w:eastAsia="Times New Roman" w:cs="Helvetica"/>
          <w:color w:val="000000"/>
          <w:lang w:eastAsia="pt-BR"/>
        </w:rPr>
        <w:t>erro</w:t>
      </w:r>
      <w:proofErr w:type="gramEnd"/>
      <w:r w:rsidRPr="00A66A7D">
        <w:rPr>
          <w:rFonts w:eastAsia="Times New Roman" w:cs="Helvetica"/>
          <w:color w:val="000000"/>
          <w:lang w:eastAsia="pt-BR"/>
        </w:rPr>
        <w:t xml:space="preserve"> de fato ocorrido no faturamento das operações ou na emissão do documento fiscal;</w:t>
      </w:r>
    </w:p>
    <w:p w14:paraId="20FBEC03"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xml:space="preserve">II - </w:t>
      </w:r>
      <w:proofErr w:type="gramStart"/>
      <w:r w:rsidRPr="00A66A7D">
        <w:rPr>
          <w:rFonts w:eastAsia="Times New Roman" w:cs="Helvetica"/>
          <w:color w:val="000000"/>
          <w:lang w:eastAsia="pt-BR"/>
        </w:rPr>
        <w:t>erro</w:t>
      </w:r>
      <w:proofErr w:type="gramEnd"/>
      <w:r w:rsidRPr="00A66A7D">
        <w:rPr>
          <w:rFonts w:eastAsia="Times New Roman" w:cs="Helvetica"/>
          <w:color w:val="000000"/>
          <w:lang w:eastAsia="pt-BR"/>
        </w:rPr>
        <w:t xml:space="preserve"> de medição, de faturamento ou da tarifa aplicada às operações discriminadas no documento fiscal;</w:t>
      </w:r>
    </w:p>
    <w:p w14:paraId="7B99F5BE"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III - verificação de procedência em decorrência da formalização de discordância do consumidor, relativamente à cobrança ou aos respectivos valores das operações discriminadas no documento fiscal;</w:t>
      </w:r>
    </w:p>
    <w:p w14:paraId="5C75853D"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xml:space="preserve">IV - </w:t>
      </w:r>
      <w:proofErr w:type="gramStart"/>
      <w:r w:rsidRPr="00A66A7D">
        <w:rPr>
          <w:rFonts w:eastAsia="Times New Roman" w:cs="Helvetica"/>
          <w:color w:val="000000"/>
          <w:lang w:eastAsia="pt-BR"/>
        </w:rPr>
        <w:t>cobrança</w:t>
      </w:r>
      <w:proofErr w:type="gramEnd"/>
      <w:r w:rsidRPr="00A66A7D">
        <w:rPr>
          <w:rFonts w:eastAsia="Times New Roman" w:cs="Helvetica"/>
          <w:color w:val="000000"/>
          <w:lang w:eastAsia="pt-BR"/>
        </w:rPr>
        <w:t xml:space="preserve"> em duplicidade.</w:t>
      </w:r>
    </w:p>
    <w:p w14:paraId="238561E2"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SEÇÃO III - DO CONSUMO DE ENERGIA ELÉTRICA POR PESSOA DISTINTA DAQUELA INDICADA COMO DESTINATÁRIA NA NOTA FISCAL/CONTA DE ENERGIA ELÉTRICA</w:t>
      </w:r>
    </w:p>
    <w:p w14:paraId="4F08E415"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xml:space="preserve"> Artigo 425-H - Na hipótese de haver consumo de energia elétrica por pessoa jurídica distinta daquela indicada como destinatária na Nota Fiscal/Conta de Energia Elétrica quando ambas compartilharem a ocupação de imóvel, urbano ou rural, sob o </w:t>
      </w:r>
      <w:r w:rsidRPr="00A66A7D">
        <w:rPr>
          <w:rFonts w:eastAsia="Times New Roman" w:cs="Helvetica"/>
          <w:color w:val="000000"/>
          <w:lang w:eastAsia="pt-BR"/>
        </w:rPr>
        <w:lastRenderedPageBreak/>
        <w:t xml:space="preserve">regime jurídico aplicável à sua locação ou arrendamento parciais ou, se for o caso, ao condomínio industrial ou comercial nele constituído: </w:t>
      </w:r>
    </w:p>
    <w:p w14:paraId="2322D053"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xml:space="preserve">I - </w:t>
      </w:r>
      <w:proofErr w:type="gramStart"/>
      <w:r w:rsidRPr="00A66A7D">
        <w:rPr>
          <w:rFonts w:eastAsia="Times New Roman" w:cs="Helvetica"/>
          <w:color w:val="000000"/>
          <w:lang w:eastAsia="pt-BR"/>
        </w:rPr>
        <w:t>a</w:t>
      </w:r>
      <w:proofErr w:type="gramEnd"/>
      <w:r w:rsidRPr="00A66A7D">
        <w:rPr>
          <w:rFonts w:eastAsia="Times New Roman" w:cs="Helvetica"/>
          <w:color w:val="000000"/>
          <w:lang w:eastAsia="pt-BR"/>
        </w:rPr>
        <w:t xml:space="preserve"> pessoa jurídica indicada como destinatária na Nota Fiscal/Conta de Energia Elétrica:</w:t>
      </w:r>
    </w:p>
    <w:p w14:paraId="099EB9B3"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xml:space="preserve">a) deverá, para fins de efetuar o lançamento do imposto devido na saída subsequente da energia elétrica, objeto da operação por ela praticada, com destino ao estabelecimento da pessoa jurídica que a tiver consumido, emitir, a cada período de apuração, Nota Fiscal eletrônica - NF-e, modelo 55, com destaque do ICMS, na qual fará constar, como valor da operação, aquele que for cobrado do destinatário segundo rateio do valor total da respectiva Nota Fiscal/Conta de Energia Elétrica, calculado proporcionalmente ao consumo individual de cada uma delas, conforme apurado por meio de medição independente ou estimado com base em laudo técnico; </w:t>
      </w:r>
    </w:p>
    <w:p w14:paraId="2946CEB0"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b) poderá, observado, no que couber, o disposto nos artigos 59 a 70 deste regulamento, creditar-se do valor do ICMS destacado na Nota Fiscal/Conta de Energia Elétrica emitida em seu nome, proporcionalmente à quantidade de energia elétrica:</w:t>
      </w:r>
    </w:p>
    <w:p w14:paraId="1C73F46E"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1. objeto da saída subsequente, por ela promovida, com cobrança do imposto, desde que acobertada pela Nota Fiscal eletrônica - NF-e de que trata a alínea “a”;</w:t>
      </w:r>
    </w:p>
    <w:p w14:paraId="2774E62C"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2. por ela consumida na industrialização de produtos cuja saída subsequente, a ser por ela promovida, deva sujeitar-se à tributação do ICMS mediante emissão de Nota Fiscal eletrônica - NF-e, modelo 55, com destaque do imposto;</w:t>
      </w:r>
    </w:p>
    <w:p w14:paraId="4AAEE107"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xml:space="preserve">II - </w:t>
      </w:r>
      <w:proofErr w:type="gramStart"/>
      <w:r w:rsidRPr="00A66A7D">
        <w:rPr>
          <w:rFonts w:eastAsia="Times New Roman" w:cs="Helvetica"/>
          <w:color w:val="000000"/>
          <w:lang w:eastAsia="pt-BR"/>
        </w:rPr>
        <w:t>a</w:t>
      </w:r>
      <w:proofErr w:type="gramEnd"/>
      <w:r w:rsidRPr="00A66A7D">
        <w:rPr>
          <w:rFonts w:eastAsia="Times New Roman" w:cs="Helvetica"/>
          <w:color w:val="000000"/>
          <w:lang w:eastAsia="pt-BR"/>
        </w:rPr>
        <w:t xml:space="preserve"> pessoa jurídica que for contribuinte do ICMS e tiver consumido, no todo ou em parte, a energia elétrica originalmente destinada à pessoa jurídica de que trata o inciso I:</w:t>
      </w:r>
    </w:p>
    <w:p w14:paraId="31FBA87A"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xml:space="preserve">a) deverá, na hipótese de a pessoa jurídica de que trata o inciso I estar, nos termos do disposto no § 1º, dispensada da emissão da Nota Fiscal Eletrônica - NF-e de que trata a alínea “a” daquele inciso, emitir, a cada período de apuração, Nota Fiscal eletrônica - NF-e, modelo 55, com destaque do ICMS, para acobertar a entrada, no seu estabelecimento, da energia elétrica por ela consumida, na qual fará constar, como valor da operação, aquele que lhe for cobrado pela outra pessoa jurídica, em nome da qual tiver sido emitida a Nota Fiscal/Conta de Energia Elétrica, segundo rateio do valor total desta, calculado proporcionalmente ao consumo individual de cada uma delas, conforme apurado por meio de medição independente ou estimado com base em laudo técnico; </w:t>
      </w:r>
    </w:p>
    <w:p w14:paraId="1E7B2F7B"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b) poderá, observado, no que couber, o disposto nos artigos 59 a 70 deste regulamento, creditar-se do valor do ICMS destacado na Nota Fiscal eletrônica - NF-e de que trata a alínea anterior ou na Nota Fiscal Eletrônica - NF-e de que trata a alínea “a” do inciso I, proporcionalmente à quantidade de energia elétrica por ela consumida na industrialização de produtos cuja saída subsequente, a ser por ela promovida, deva sujeitar-se à tributação do ICMS mediante a correspondente emissão de Nota Fiscal eletrônica - NF-e, modelo 55, com destaque do imposto.</w:t>
      </w:r>
    </w:p>
    <w:p w14:paraId="76D94F62"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1º - A pessoa jurídica de que trata o inciso I ficará dispensada do cumprimento das obrigações tributárias do ICMS a que estiver sujeita quando tais obrigações decorrerem exclusivamente da prática de operações relativas à circulação de energia elétrica na hipótese de que trata este artigo.</w:t>
      </w:r>
    </w:p>
    <w:p w14:paraId="09C74A4E"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2º - O disposto no inciso II aplica-se também na hipótese de a Nota Fiscal/Conta de Energia Elétrica ter sido emitida em nome de condomínio industrial ou comercial ou de sua administradora.</w:t>
      </w:r>
    </w:p>
    <w:p w14:paraId="3D7A54CC"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xml:space="preserve">SEÇÃO IV - DAS DEMAIS OBRIGAÇÕES </w:t>
      </w:r>
    </w:p>
    <w:p w14:paraId="1913F45F"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lastRenderedPageBreak/>
        <w:t>Artigo 426 - Os contribuintes paulistas que praticarem operações internas ou interestaduais relativas à circulação da energia elétrica ou que forem destinatários da energia elétrica objeto da operação interestadual de que trata o artigo 425-D, bem como aqueles a quem estiver atribuída, nos termos deste capítulo, a responsabilidade pelo lançamento e pagamento do imposto devido nas operações internas antecedentes, deverão, para fins do cumprimento das obrigações principal e acessórias do ICMS a que estiverem sujeitos, observar, no que couber, as disposições previstas neste regulamento e em disciplina estabelecida pela Secretaria da Fazenda e Planejamento.</w:t>
      </w:r>
    </w:p>
    <w:p w14:paraId="2D92A752"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1º - O destinatário paulista da energia elétrica objeto da operação interestadual de que trata o artigo 425-D deverá, na condição de contribuinte do ICMS, ainda que tal condição decorra exclusivamente da prática daquela operação:</w:t>
      </w:r>
    </w:p>
    <w:p w14:paraId="6E29C137"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1. inscrever, no Cadastro de Contribuintes do ICMS, todos os seus estabelecimentos localizados no território paulista, observado o disposto nos artigos 19 a 31 deste regulamento;</w:t>
      </w:r>
    </w:p>
    <w:p w14:paraId="52E63F4F"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2. cumprir as demais obrigações tributárias a que estiver sujeito nos termos da legislação aplicável.</w:t>
      </w:r>
    </w:p>
    <w:p w14:paraId="66179BEE"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xml:space="preserve">§ 2º - O disposto </w:t>
      </w:r>
      <w:proofErr w:type="spellStart"/>
      <w:r w:rsidRPr="00A66A7D">
        <w:rPr>
          <w:rFonts w:eastAsia="Times New Roman" w:cs="Helvetica"/>
          <w:color w:val="000000"/>
          <w:lang w:eastAsia="pt-BR"/>
        </w:rPr>
        <w:t>nas</w:t>
      </w:r>
      <w:proofErr w:type="spellEnd"/>
      <w:r w:rsidRPr="00A66A7D">
        <w:rPr>
          <w:rFonts w:eastAsia="Times New Roman" w:cs="Helvetica"/>
          <w:color w:val="000000"/>
          <w:lang w:eastAsia="pt-BR"/>
        </w:rPr>
        <w:t xml:space="preserve"> alíneas “a” e “b” do § 1º também se aplica ao destinatário da energia elétrica objeto das operações internas de que trata o artigo 425-B que aliená-la, no todo ou em parte, mediante contratos de compra e venda ou de cessão de montantes firmados em ambiente de contratação livre, ainda que a sua condição de contribuinte do ICMS decorra exclusivamente dessas operações.</w:t>
      </w:r>
    </w:p>
    <w:p w14:paraId="32C5D852"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3º - A Secretaria da Fazenda e Planejamento poderá estabelecer disciplina para dispensar o cumprimento de obrigações acessórias decorrentes das operações internas e interestaduais de que tratam os artigos 425-B, 425-C e 425-D, mediante adoção de procedimento simplificado para fins do lançamento e pagamento do imposto devido por destinatário cuja condição de contribuinte ou de substituto tributário decorra exclusivamente dessas operações.</w:t>
      </w:r>
    </w:p>
    <w:p w14:paraId="6B0899FA"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4º - A Câmara de Comercialização de Energia Elétrica - CCEE deverá, periodicamente, e sempre que solicitada, prestar, à Secretaria da Fazenda e Planejamento, nos termos de disciplina por esta estabelecida: </w:t>
      </w:r>
    </w:p>
    <w:p w14:paraId="44080401"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1. informações relativas:</w:t>
      </w:r>
    </w:p>
    <w:p w14:paraId="028E81B2"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a) aos contratos de compra e venda e de cessão de montantes de energia elétrica nela registrados; </w:t>
      </w:r>
    </w:p>
    <w:p w14:paraId="30122949"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b) à medição do consumo da energia elétrica para fins da liquidação dos contratos referidos na alínea “a”.</w:t>
      </w:r>
    </w:p>
    <w:p w14:paraId="43C6A206"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2. outras informações de interesse da Administração Tributária.” (NR).</w:t>
      </w:r>
    </w:p>
    <w:p w14:paraId="36429C1E"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Artigo 2º - Ficam revogados:</w:t>
      </w:r>
    </w:p>
    <w:p w14:paraId="346BFFDE"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xml:space="preserve">I - </w:t>
      </w:r>
      <w:proofErr w:type="gramStart"/>
      <w:r w:rsidRPr="00A66A7D">
        <w:rPr>
          <w:rFonts w:eastAsia="Times New Roman" w:cs="Helvetica"/>
          <w:color w:val="000000"/>
          <w:lang w:eastAsia="pt-BR"/>
        </w:rPr>
        <w:t>o</w:t>
      </w:r>
      <w:proofErr w:type="gramEnd"/>
      <w:r w:rsidRPr="00A66A7D">
        <w:rPr>
          <w:rFonts w:eastAsia="Times New Roman" w:cs="Helvetica"/>
          <w:color w:val="000000"/>
          <w:lang w:eastAsia="pt-BR"/>
        </w:rPr>
        <w:t xml:space="preserve"> Anexo XVIII do Regulamento do Imposto sobre Operações Relativas à Circulação de Mercadorias e sobre Prestações de Serviços de Transporte Interestadual e Intermunicipal e de Comunicação - RICMS, aprovado pelo Decreto 45.490, de 30 de novembro de 2000;</w:t>
      </w:r>
    </w:p>
    <w:p w14:paraId="2E43C0BD"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xml:space="preserve">II - </w:t>
      </w:r>
      <w:proofErr w:type="gramStart"/>
      <w:r w:rsidRPr="00A66A7D">
        <w:rPr>
          <w:rFonts w:eastAsia="Times New Roman" w:cs="Helvetica"/>
          <w:color w:val="000000"/>
          <w:lang w:eastAsia="pt-BR"/>
        </w:rPr>
        <w:t>o</w:t>
      </w:r>
      <w:proofErr w:type="gramEnd"/>
      <w:r w:rsidRPr="00A66A7D">
        <w:rPr>
          <w:rFonts w:eastAsia="Times New Roman" w:cs="Helvetica"/>
          <w:color w:val="000000"/>
          <w:lang w:eastAsia="pt-BR"/>
        </w:rPr>
        <w:t xml:space="preserve"> Decreto 65.823, de 25 de junho de 2021. </w:t>
      </w:r>
    </w:p>
    <w:p w14:paraId="7845EB5F"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 xml:space="preserve">Artigo 3º - Este decreto entra em vigor em 1º de abril de 2022, exceto em relação ao inciso II do artigo 2º, que entra em vigor na data da publicação deste decreto. </w:t>
      </w:r>
    </w:p>
    <w:p w14:paraId="2D639E1D"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Palácio dos Bandeirantes, 22 de dezembro de 2021</w:t>
      </w:r>
    </w:p>
    <w:p w14:paraId="61B58916" w14:textId="24040416" w:rsidR="00A66A7D" w:rsidRPr="00343EDB"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RODRIGO GARCIA</w:t>
      </w:r>
    </w:p>
    <w:p w14:paraId="491D9257" w14:textId="0E83DEFD" w:rsidR="00343EDB" w:rsidRDefault="00343EDB" w:rsidP="00A66A7D">
      <w:pPr>
        <w:rPr>
          <w:rFonts w:eastAsia="Times New Roman" w:cs="Helvetica"/>
          <w:color w:val="000000"/>
          <w:lang w:eastAsia="pt-BR"/>
        </w:rPr>
      </w:pPr>
    </w:p>
    <w:p w14:paraId="40AF77B1" w14:textId="77777777" w:rsidR="00343EDB" w:rsidRPr="00A66A7D" w:rsidRDefault="00343EDB" w:rsidP="00A66A7D">
      <w:pPr>
        <w:rPr>
          <w:rFonts w:eastAsia="Times New Roman" w:cs="Helvetica"/>
          <w:color w:val="000000"/>
          <w:lang w:eastAsia="pt-BR"/>
        </w:rPr>
      </w:pPr>
    </w:p>
    <w:p w14:paraId="492C59EA" w14:textId="77777777" w:rsidR="00A66A7D" w:rsidRPr="00A66A7D" w:rsidRDefault="00A66A7D" w:rsidP="00A66A7D">
      <w:pPr>
        <w:jc w:val="center"/>
        <w:rPr>
          <w:rFonts w:eastAsia="Times New Roman" w:cs="Helvetica"/>
          <w:b/>
          <w:bCs/>
          <w:color w:val="000000"/>
          <w:lang w:eastAsia="pt-BR"/>
        </w:rPr>
      </w:pPr>
      <w:r w:rsidRPr="00A66A7D">
        <w:rPr>
          <w:rFonts w:eastAsia="Times New Roman" w:cs="Helvetica"/>
          <w:b/>
          <w:bCs/>
          <w:color w:val="000000"/>
          <w:lang w:eastAsia="pt-BR"/>
        </w:rPr>
        <w:t>OFÍCIO GS-CAT Nº 565/2021</w:t>
      </w:r>
    </w:p>
    <w:p w14:paraId="45823475"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Senhor Governador, em exercício</w:t>
      </w:r>
    </w:p>
    <w:p w14:paraId="2F234D2A"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Tenho a honra de encaminhar a Vossa Excelência a inclusa minuta de decreto, que introduz alterações no Regulamento do ICMS, aprovado pelo Decreto 45.490, de 30 de novembro de 2000.</w:t>
      </w:r>
    </w:p>
    <w:p w14:paraId="785403DE"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A minuta visa alterar o Capítulo VII do Título II do Regulamento do ICMS e revogar o Anexo XVIII que tratam das operações com energia elétrica, prevendo um novo modelo de tributação pelo ICMS das operações com energia elétrica adquirida em ambiente de contratação livre, de modo a ajustar a legislação paulista a entendimento proferido pelo Supremo Tribunal Federal e realizar uma simplificação da legislação relativa a essas operações.</w:t>
      </w:r>
    </w:p>
    <w:p w14:paraId="4A256405"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Com essas justificativas e propondo a edição de decreto conforme a minuta, aproveito o ensejo para reiterar-lhe meus protestos de estima e alta consideração.</w:t>
      </w:r>
    </w:p>
    <w:p w14:paraId="177ADDC6"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Henrique de Campos Meirelles</w:t>
      </w:r>
    </w:p>
    <w:p w14:paraId="5F9AB31E" w14:textId="77777777" w:rsidR="00A66A7D" w:rsidRPr="00A66A7D" w:rsidRDefault="00A66A7D" w:rsidP="00343EDB">
      <w:pPr>
        <w:spacing w:before="60" w:after="60" w:line="240" w:lineRule="auto"/>
        <w:ind w:firstLine="1418"/>
        <w:jc w:val="both"/>
        <w:rPr>
          <w:rFonts w:eastAsia="Times New Roman" w:cs="Helvetica"/>
          <w:color w:val="000000"/>
          <w:lang w:eastAsia="pt-BR"/>
        </w:rPr>
      </w:pPr>
      <w:r w:rsidRPr="00A66A7D">
        <w:rPr>
          <w:rFonts w:eastAsia="Times New Roman" w:cs="Helvetica"/>
          <w:color w:val="000000"/>
          <w:lang w:eastAsia="pt-BR"/>
        </w:rPr>
        <w:t>Secretário da Fazenda e Planejamento</w:t>
      </w:r>
    </w:p>
    <w:sectPr w:rsidR="00A66A7D" w:rsidRPr="00A66A7D" w:rsidSect="006C07D4">
      <w:pgSz w:w="11906" w:h="16838"/>
      <w:pgMar w:top="1463" w:right="1928" w:bottom="1928" w:left="192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00500000000000000"/>
    <w:charset w:val="00"/>
    <w:family w:val="swiss"/>
    <w:pitch w:val="variable"/>
    <w:sig w:usb0="E0002AFF" w:usb1="5000785B" w:usb2="00000000"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FC"/>
    <w:rsid w:val="000006F6"/>
    <w:rsid w:val="0001623E"/>
    <w:rsid w:val="0002294B"/>
    <w:rsid w:val="000919C0"/>
    <w:rsid w:val="00096293"/>
    <w:rsid w:val="000E7307"/>
    <w:rsid w:val="00124CBF"/>
    <w:rsid w:val="00131D22"/>
    <w:rsid w:val="001B5DB0"/>
    <w:rsid w:val="001E5DA5"/>
    <w:rsid w:val="001F488E"/>
    <w:rsid w:val="00243CD7"/>
    <w:rsid w:val="002B5CDD"/>
    <w:rsid w:val="00314163"/>
    <w:rsid w:val="0034299E"/>
    <w:rsid w:val="00343EDB"/>
    <w:rsid w:val="00391950"/>
    <w:rsid w:val="004055BC"/>
    <w:rsid w:val="00425814"/>
    <w:rsid w:val="004514EC"/>
    <w:rsid w:val="00451CC4"/>
    <w:rsid w:val="004B1D6C"/>
    <w:rsid w:val="004E070F"/>
    <w:rsid w:val="004F75B3"/>
    <w:rsid w:val="00550FB6"/>
    <w:rsid w:val="00561759"/>
    <w:rsid w:val="00572FA8"/>
    <w:rsid w:val="005952F6"/>
    <w:rsid w:val="005D6384"/>
    <w:rsid w:val="005E5EC6"/>
    <w:rsid w:val="005F23BB"/>
    <w:rsid w:val="00605A4E"/>
    <w:rsid w:val="006305AC"/>
    <w:rsid w:val="006465C2"/>
    <w:rsid w:val="00660DCD"/>
    <w:rsid w:val="00661C95"/>
    <w:rsid w:val="00671EEC"/>
    <w:rsid w:val="006C07D4"/>
    <w:rsid w:val="006C2A8C"/>
    <w:rsid w:val="006F00E1"/>
    <w:rsid w:val="006F11CC"/>
    <w:rsid w:val="00727BCE"/>
    <w:rsid w:val="00765C21"/>
    <w:rsid w:val="007A311B"/>
    <w:rsid w:val="007D094C"/>
    <w:rsid w:val="008054E4"/>
    <w:rsid w:val="0082268D"/>
    <w:rsid w:val="008B2B4B"/>
    <w:rsid w:val="00A41BF2"/>
    <w:rsid w:val="00A574A9"/>
    <w:rsid w:val="00A66A7D"/>
    <w:rsid w:val="00AA5EFA"/>
    <w:rsid w:val="00AF465F"/>
    <w:rsid w:val="00B01EE7"/>
    <w:rsid w:val="00B0267E"/>
    <w:rsid w:val="00B04783"/>
    <w:rsid w:val="00B14F17"/>
    <w:rsid w:val="00C55A1D"/>
    <w:rsid w:val="00C562FD"/>
    <w:rsid w:val="00C77ABC"/>
    <w:rsid w:val="00C820FC"/>
    <w:rsid w:val="00CA7052"/>
    <w:rsid w:val="00CC2019"/>
    <w:rsid w:val="00CE49E9"/>
    <w:rsid w:val="00CE79F7"/>
    <w:rsid w:val="00CE7A8A"/>
    <w:rsid w:val="00D37AE0"/>
    <w:rsid w:val="00D74636"/>
    <w:rsid w:val="00D97397"/>
    <w:rsid w:val="00DB0B30"/>
    <w:rsid w:val="00DD3823"/>
    <w:rsid w:val="00E30F0D"/>
    <w:rsid w:val="00E32251"/>
    <w:rsid w:val="00E51017"/>
    <w:rsid w:val="00E838FC"/>
    <w:rsid w:val="00EF3722"/>
    <w:rsid w:val="00F5501E"/>
    <w:rsid w:val="00FA0503"/>
    <w:rsid w:val="00FB0361"/>
    <w:rsid w:val="00FB60F4"/>
    <w:rsid w:val="00FC5C0B"/>
    <w:rsid w:val="00FD42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DA26"/>
  <w15:chartTrackingRefBased/>
  <w15:docId w15:val="{F6E66A8F-47C6-48D2-9314-619A193D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uiPriority w:val="99"/>
    <w:unhideWhenUsed/>
    <w:rsid w:val="00661C9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rsid w:val="00661C95"/>
    <w:rPr>
      <w:rFonts w:ascii="Consolas" w:hAnsi="Consolas"/>
      <w:sz w:val="21"/>
      <w:szCs w:val="21"/>
    </w:rPr>
  </w:style>
  <w:style w:type="paragraph" w:styleId="NormalWeb">
    <w:name w:val="Normal (Web)"/>
    <w:basedOn w:val="Normal"/>
    <w:uiPriority w:val="99"/>
    <w:semiHidden/>
    <w:unhideWhenUsed/>
    <w:rsid w:val="002B5CD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27624">
      <w:bodyDiv w:val="1"/>
      <w:marLeft w:val="0"/>
      <w:marRight w:val="0"/>
      <w:marTop w:val="0"/>
      <w:marBottom w:val="0"/>
      <w:divBdr>
        <w:top w:val="none" w:sz="0" w:space="0" w:color="auto"/>
        <w:left w:val="none" w:sz="0" w:space="0" w:color="auto"/>
        <w:bottom w:val="none" w:sz="0" w:space="0" w:color="auto"/>
        <w:right w:val="none" w:sz="0" w:space="0" w:color="auto"/>
      </w:divBdr>
    </w:div>
    <w:div w:id="342051703">
      <w:bodyDiv w:val="1"/>
      <w:marLeft w:val="0"/>
      <w:marRight w:val="0"/>
      <w:marTop w:val="0"/>
      <w:marBottom w:val="0"/>
      <w:divBdr>
        <w:top w:val="none" w:sz="0" w:space="0" w:color="auto"/>
        <w:left w:val="none" w:sz="0" w:space="0" w:color="auto"/>
        <w:bottom w:val="none" w:sz="0" w:space="0" w:color="auto"/>
        <w:right w:val="none" w:sz="0" w:space="0" w:color="auto"/>
      </w:divBdr>
    </w:div>
    <w:div w:id="705325418">
      <w:bodyDiv w:val="1"/>
      <w:marLeft w:val="0"/>
      <w:marRight w:val="0"/>
      <w:marTop w:val="0"/>
      <w:marBottom w:val="0"/>
      <w:divBdr>
        <w:top w:val="none" w:sz="0" w:space="0" w:color="auto"/>
        <w:left w:val="none" w:sz="0" w:space="0" w:color="auto"/>
        <w:bottom w:val="none" w:sz="0" w:space="0" w:color="auto"/>
        <w:right w:val="none" w:sz="0" w:space="0" w:color="auto"/>
      </w:divBdr>
    </w:div>
    <w:div w:id="1181160139">
      <w:bodyDiv w:val="1"/>
      <w:marLeft w:val="0"/>
      <w:marRight w:val="0"/>
      <w:marTop w:val="0"/>
      <w:marBottom w:val="0"/>
      <w:divBdr>
        <w:top w:val="none" w:sz="0" w:space="0" w:color="auto"/>
        <w:left w:val="none" w:sz="0" w:space="0" w:color="auto"/>
        <w:bottom w:val="none" w:sz="0" w:space="0" w:color="auto"/>
        <w:right w:val="none" w:sz="0" w:space="0" w:color="auto"/>
      </w:divBdr>
    </w:div>
    <w:div w:id="1228489990">
      <w:bodyDiv w:val="1"/>
      <w:marLeft w:val="0"/>
      <w:marRight w:val="0"/>
      <w:marTop w:val="0"/>
      <w:marBottom w:val="0"/>
      <w:divBdr>
        <w:top w:val="none" w:sz="0" w:space="0" w:color="auto"/>
        <w:left w:val="none" w:sz="0" w:space="0" w:color="auto"/>
        <w:bottom w:val="none" w:sz="0" w:space="0" w:color="auto"/>
        <w:right w:val="none" w:sz="0" w:space="0" w:color="auto"/>
      </w:divBdr>
    </w:div>
    <w:div w:id="149579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2616</Words>
  <Characters>14129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Otaviano Alaerse</dc:creator>
  <cp:keywords/>
  <dc:description/>
  <cp:lastModifiedBy>Tania Mara de Oliveira</cp:lastModifiedBy>
  <cp:revision>3</cp:revision>
  <dcterms:created xsi:type="dcterms:W3CDTF">2021-12-23T13:44:00Z</dcterms:created>
  <dcterms:modified xsi:type="dcterms:W3CDTF">2021-12-23T13:50:00Z</dcterms:modified>
</cp:coreProperties>
</file>