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B94E" w14:textId="1A341ACE" w:rsidR="00FC08F7" w:rsidRDefault="00FC08F7" w:rsidP="00FC08F7">
      <w:pPr>
        <w:spacing w:before="60" w:after="60" w:line="240" w:lineRule="auto"/>
        <w:jc w:val="center"/>
        <w:rPr>
          <w:rFonts w:cs="Courier New"/>
          <w:b/>
          <w:bCs/>
        </w:rPr>
      </w:pPr>
      <w:r w:rsidRPr="00FC08F7">
        <w:rPr>
          <w:rFonts w:cs="Courier New"/>
          <w:b/>
          <w:bCs/>
        </w:rPr>
        <w:t>DECRETO Nº 67.198, DE 25 DE OUTUBRO DE 2022</w:t>
      </w:r>
    </w:p>
    <w:p w14:paraId="5BF51FA9" w14:textId="77777777" w:rsidR="00FC08F7" w:rsidRPr="00FC08F7" w:rsidRDefault="00FC08F7" w:rsidP="00FC08F7">
      <w:pPr>
        <w:spacing w:before="60" w:after="60" w:line="240" w:lineRule="auto"/>
        <w:jc w:val="center"/>
        <w:rPr>
          <w:rFonts w:cs="Courier New"/>
          <w:b/>
          <w:bCs/>
        </w:rPr>
      </w:pPr>
    </w:p>
    <w:p w14:paraId="1F80B416" w14:textId="65CC7387" w:rsidR="00FC08F7" w:rsidRDefault="00FC08F7" w:rsidP="00546072">
      <w:pPr>
        <w:spacing w:before="60" w:after="60" w:line="240" w:lineRule="auto"/>
        <w:ind w:left="3686"/>
        <w:jc w:val="both"/>
        <w:rPr>
          <w:rFonts w:cs="Courier New"/>
        </w:rPr>
      </w:pPr>
      <w:r w:rsidRPr="00FC08F7">
        <w:rPr>
          <w:rFonts w:cs="Courier New"/>
        </w:rPr>
        <w:t>Declara de utilidade pública, para fins de desapropriação pela Eixo SP Concessionária de Rodovias S/A, as áreas necessárias à implantação do Posto Geral de Fiscalização 03, no trecho entre os km 551+648m e 553+843m da Rodovia SP-294, no Município de Parapuã, e dá providências correlatas</w:t>
      </w:r>
    </w:p>
    <w:p w14:paraId="6F78F9C7" w14:textId="77777777" w:rsidR="00FC08F7" w:rsidRPr="00FC08F7" w:rsidRDefault="00FC08F7" w:rsidP="00FC08F7">
      <w:pPr>
        <w:spacing w:before="60" w:after="60" w:line="240" w:lineRule="auto"/>
        <w:jc w:val="both"/>
        <w:rPr>
          <w:rFonts w:cs="Courier New"/>
        </w:rPr>
      </w:pPr>
    </w:p>
    <w:p w14:paraId="27898629" w14:textId="6D6C15C4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 xml:space="preserve">RODRIGO GARCIA, </w:t>
      </w:r>
      <w:r w:rsidRPr="00FC08F7">
        <w:rPr>
          <w:rFonts w:cs="Courier New"/>
        </w:rPr>
        <w:t>GOVERNADOR DO ESTADO DE SÃO PAULO</w:t>
      </w:r>
      <w:r w:rsidRPr="00FC08F7">
        <w:rPr>
          <w:rFonts w:cs="Courier New"/>
        </w:rPr>
        <w:t>, no uso de suas atribuições legais e nos termos do disposto nos artigos 2º e 6º do Decreto-Lei federal nº 3.365, de 21 de junho de 1941, e no Decreto nº 64.334, de 19 de julho de 2019,</w:t>
      </w:r>
    </w:p>
    <w:p w14:paraId="61ECA863" w14:textId="77777777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>Decreta:</w:t>
      </w:r>
    </w:p>
    <w:p w14:paraId="4F04C178" w14:textId="63FEC550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>Artigo 1º - Ficam declaradas de utilidade pública, para fins de desapropriação pela Eixo SP Concessionária de Rodovias S/A, empresa concessionária de serviço público, por via amigável ou judicial, as áreas identificadas nas plantas cadastrais DE-SPD552294-551.554-430-D03/001 e DE-SPD552294-551.554-430-D03/002 e descritas nos memoriais constantes dos autos do Processo ARTESP-PRC-2022/03934, necessárias à implantação do Posto Geral de Fiscalização 03, no trecho entre os km 551+648m e 553+843m da Rodovia SP-294, no Município de Parapuã, Comarca de Osvaldo Cruz, as quais totalizam 14.736,57m</w:t>
      </w:r>
      <w:r>
        <w:rPr>
          <w:rFonts w:cs="Courier New"/>
        </w:rPr>
        <w:t>²</w:t>
      </w:r>
      <w:r w:rsidRPr="00FC08F7">
        <w:rPr>
          <w:rFonts w:cs="Courier New"/>
        </w:rPr>
        <w:t xml:space="preserve"> (quatorze mil setecentos e trinta e seis metros quadrados e cinquenta e sete decímetros quadrados) e se encontram inseridas dentro dos perímetros a seguir descritos:</w:t>
      </w:r>
    </w:p>
    <w:p w14:paraId="047EFAD4" w14:textId="3BDCB346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 xml:space="preserve">I – área 1 - conforme a planta cadastral DE-SPD552294-551.554-430-D03/001, a área, que consta pertencer a Anita Tolentino de Lima e/ou outros, situa-se do lado direito da Rodovia SP-294, no sentido de </w:t>
      </w:r>
      <w:proofErr w:type="spellStart"/>
      <w:r w:rsidRPr="00FC08F7">
        <w:rPr>
          <w:rFonts w:cs="Courier New"/>
        </w:rPr>
        <w:t>Iacri</w:t>
      </w:r>
      <w:proofErr w:type="spellEnd"/>
      <w:r w:rsidRPr="00FC08F7">
        <w:rPr>
          <w:rFonts w:cs="Courier New"/>
        </w:rPr>
        <w:t xml:space="preserve"> a Parapuã, no Município de Parapuã, Comarca de Osvaldo Cruz, e tem linha de divisa que, partindo do ponto denominado 1, de coordenadas N=7.585.574,8982 e E=527.644,8635, segue em linha reta, confrontando com a faixa de domínio da Rodovia SP-294, com azimute de 307°36'41" e distância de 164,04m até o ponto 2, de coordenadas N=7.585.675,0118 e E=527.514,9172; desse ponto, deflete à direita, confrontando com o terreno não registrado de posse de Nilson Nunes Brito, com azimute de 44°44'24" e distância de 4,39m até o ponto 3, de coordenadas N=7.585.678,1274 e E=527.518,0047; desse ponto, deflete à direita, confrontando com a área remanescente, com os seguintes azimutes e distâncias: 131°26'55" e 16,33m até o ponto 4, de coordenadas N=7.585.667,3204 e E=527.530,2418; 126°52'10" e 20,00m até o ponto 5, de coordenadas N=7.585.655,3211 e E=527.546,2413; 126°45'49" e 20,00m até o ponto 6, de coordenadas N=7.585.643,3508 e E=527.562,2635; 126°45'49" e 20,00m até o ponto 7, de coordenadas N=7.585.631,3804 e E=527.578,2857; 126°24'53" e 20,00m até o ponto 8, de coordenadas N=7.585.619,5079 e E=527.594,3805; 126°24'01" e 20,00m até o ponto 9, de coordenadas N=7.585.607,6395 e E=527.610,4783; 126°38'17" e 20,00m até o ponto 10, de coordenadas N=7.585.595,7052 e E=527.626,5255; 128°44'22" e 20,00m até o ponto 11, de coordenadas N=7.585.583,1896 e E=527.642,1255; 128°44'22" e 8,46m até o ponto 12, de coordenadas N=7.585.577,8964 e E=527.648,7232; e 232°09'39" e 4,89m até o ponto 1, que é referencial de partida da presente descrição, perfazendo uma área de 706,75m</w:t>
      </w:r>
      <w:r>
        <w:rPr>
          <w:rFonts w:cs="Courier New"/>
        </w:rPr>
        <w:t>²</w:t>
      </w:r>
      <w:r w:rsidRPr="00FC08F7">
        <w:rPr>
          <w:rFonts w:cs="Courier New"/>
        </w:rPr>
        <w:t xml:space="preserve"> (setecentos e seis metros quadrados e setenta e cinco decímetros quadrados);</w:t>
      </w:r>
    </w:p>
    <w:p w14:paraId="16694F84" w14:textId="68D3F8C0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lastRenderedPageBreak/>
        <w:t xml:space="preserve">II – área 2 - conforme a planta cadastral DE-SPD552294-551.554-430-D03/001, a área, que consta pertencer a Anita Tolentino de Lima e/ou outros, situa-se do lado direito da Rodovia SP-294, no sentido de </w:t>
      </w:r>
      <w:proofErr w:type="spellStart"/>
      <w:r w:rsidRPr="00FC08F7">
        <w:rPr>
          <w:rFonts w:cs="Courier New"/>
        </w:rPr>
        <w:t>Iacri</w:t>
      </w:r>
      <w:proofErr w:type="spellEnd"/>
      <w:r w:rsidRPr="00FC08F7">
        <w:rPr>
          <w:rFonts w:cs="Courier New"/>
        </w:rPr>
        <w:t xml:space="preserve"> a Parapuã, no Município de Parapuã, Comarca de Osvaldo Cruz, e tem linha de divisa que, partindo do ponto denominado 1, de coordenadas N=7.585.675,0118 e E=527.514,9172, segue em linha reta, confrontando com a faixa de domínio da Rodovia SP-294, com azimute de 307°36'41" e distância de 55,10m até o ponto 2, de coordenadas N=7.585.708,6374 e E=527.471,2716; desse ponto, deflete à direita, confrontando com a área pertencente à Matrícula 11.874 do 1° CRI de Osvaldo Cruz, com azimute de 40°01'23" e distância de 50,99m até o ponto 3, de coordenadas N=7.585.747,6880 e E=527.504,0658; desse ponto, deflete à direita, confrontando com a área remanescente, com os seguintes azimutes e distâncias: 128°48'06" e 21,17m até o ponto 4, de coordenadas N=7.585.734,4244 e E=527.520,5616; 147°38'06" e 9,87m até o ponto 5, de coordenadas N=7.585.726,0911 e E=527.525,8429; 164°44'50" e 9,91m até o ponto 6, de coordenadas N=7.585.716,5308 e E=527.528,4499; 181°13'07" e 9,89m até o ponto 7, de coordenadas N=7.585.706,6459 e E=527.528,2396; 198°34'17" e 9,89m até o ponto 8, de coordenadas N=7.585.697,2729 e E=527.525,0904; 214°24'56" e 9,92m até o ponto 9, de coordenadas N=7.585.689,0884 e E=527.519,4831; 204°04'32" e 9,63m até o ponto 10, de coordenadas N=7.585.680,2925 e E=527.515,5530; 131°26'55" e 3,27m até o ponto 11, de coordenadas N=7.585.678,1274 e E=527.518,0047; e, desse ponto, deflete à direita, confrontando com o terreno sem registro de posse de </w:t>
      </w:r>
      <w:proofErr w:type="spellStart"/>
      <w:r w:rsidRPr="00FC08F7">
        <w:rPr>
          <w:rFonts w:cs="Courier New"/>
        </w:rPr>
        <w:t>Juivan</w:t>
      </w:r>
      <w:proofErr w:type="spellEnd"/>
      <w:r w:rsidRPr="00FC08F7">
        <w:rPr>
          <w:rFonts w:cs="Courier New"/>
        </w:rPr>
        <w:t xml:space="preserve"> da Silva Brito e sua mulher, com azimute de 224°44'24" e distância de 4,39m até o ponto 1, que é referencial de partida da presente descrição, perfazendo uma área de 2.284,17m</w:t>
      </w:r>
      <w:r>
        <w:rPr>
          <w:rFonts w:cs="Courier New"/>
        </w:rPr>
        <w:t>²</w:t>
      </w:r>
      <w:r w:rsidRPr="00FC08F7">
        <w:rPr>
          <w:rFonts w:cs="Courier New"/>
        </w:rPr>
        <w:t xml:space="preserve"> (dois mil duzentos e oitenta e quatro metros quadrados e dezessete decímetros quadrados);</w:t>
      </w:r>
    </w:p>
    <w:p w14:paraId="611C2CC7" w14:textId="7F8F3D6A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 xml:space="preserve">III- área 3 - conforme a planta cadastral DE-SPD552294-551.554-430-D03/001, a área, que consta pertencer a Antônio </w:t>
      </w:r>
      <w:proofErr w:type="spellStart"/>
      <w:r w:rsidRPr="00FC08F7">
        <w:rPr>
          <w:rFonts w:cs="Courier New"/>
        </w:rPr>
        <w:t>Brittes</w:t>
      </w:r>
      <w:proofErr w:type="spellEnd"/>
      <w:r w:rsidRPr="00FC08F7">
        <w:rPr>
          <w:rFonts w:cs="Courier New"/>
        </w:rPr>
        <w:t xml:space="preserve">, Cleonice Lourenço Cavalcante </w:t>
      </w:r>
      <w:proofErr w:type="spellStart"/>
      <w:r w:rsidRPr="00FC08F7">
        <w:rPr>
          <w:rFonts w:cs="Courier New"/>
        </w:rPr>
        <w:t>Brittes</w:t>
      </w:r>
      <w:proofErr w:type="spellEnd"/>
      <w:r w:rsidRPr="00FC08F7">
        <w:rPr>
          <w:rFonts w:cs="Courier New"/>
        </w:rPr>
        <w:t xml:space="preserve"> e/ou outros, situa-se do lado direito da Rodovia SP-294, no sentido de </w:t>
      </w:r>
      <w:proofErr w:type="spellStart"/>
      <w:r w:rsidRPr="00FC08F7">
        <w:rPr>
          <w:rFonts w:cs="Courier New"/>
        </w:rPr>
        <w:t>Iacri</w:t>
      </w:r>
      <w:proofErr w:type="spellEnd"/>
      <w:r w:rsidRPr="00FC08F7">
        <w:rPr>
          <w:rFonts w:cs="Courier New"/>
        </w:rPr>
        <w:t xml:space="preserve"> a Parapuã, no Município de Parapuã, Comarca de Osvaldo Cruz, e tem linha de divisa que, partindo do ponto denominado 1, de coordenadas N=7.585.708,6374 e E=527.471,2716, segue em linha reta, confrontando com a faixa de domínio da Rodovia SP-294, com azimute de 307°58'18" e distância de 80,11m até o ponto 2, de coordenadas N=7.585.757,9269 e E=527.408,1198; desse ponto, deflete à direita, confrontando com a estrada municipal de Parapuã, com azimute de 40°01'23" e distância de 48,83m até o ponto 3, de coordenadas N=7.585.795,3211 e E=527.439,5229; desse ponto, deflete à direita, confrontando com a área remanescente, com os seguintes azimutes e distâncias: 126°33'22" e 1,47m até o ponto 4, de coordenadas N=7.585.794,4431 e E=527.440,7070; 126°45'07" e 20,00m até o ponto 5, de coordenadas N=7.585.782,4762 e E=527.456,7314; 126°54'26" e 30,00m até o ponto 6, de coordenadas N=7.585.764,4610 e E=527.480,7191; 125°41'40" e 28,75m até o ponto 7, de coordenadas N=7.585.747,6880 e E=527.504,0658; e, desse ponto, deflete à direita, confrontando com o terreno sem registro de posse de Nilson Nunes Brito, com azimute de 220°01'23" e distância de 50,99m até o ponto 1, que é referencial de partida da presente descrição, perfazendo uma área de 3.982,19m</w:t>
      </w:r>
      <w:r>
        <w:rPr>
          <w:rFonts w:cs="Courier New"/>
        </w:rPr>
        <w:t>²</w:t>
      </w:r>
      <w:r w:rsidRPr="00FC08F7">
        <w:rPr>
          <w:rFonts w:cs="Courier New"/>
        </w:rPr>
        <w:t xml:space="preserve"> (três mil novecentos e oitenta e dois metros quadrados e dezenove decímetros quadrados);</w:t>
      </w:r>
    </w:p>
    <w:p w14:paraId="10EEC67B" w14:textId="28DA550E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 xml:space="preserve">IV – área 5 - conforme a planta cadastral DE-SPD552294-551.554-430-D03/001, a área, que consta pertencer a Neusa </w:t>
      </w:r>
      <w:proofErr w:type="spellStart"/>
      <w:r w:rsidRPr="00FC08F7">
        <w:rPr>
          <w:rFonts w:cs="Courier New"/>
        </w:rPr>
        <w:t>Harue</w:t>
      </w:r>
      <w:proofErr w:type="spellEnd"/>
      <w:r w:rsidRPr="00FC08F7">
        <w:rPr>
          <w:rFonts w:cs="Courier New"/>
        </w:rPr>
        <w:t xml:space="preserve"> </w:t>
      </w:r>
      <w:proofErr w:type="spellStart"/>
      <w:r w:rsidRPr="00FC08F7">
        <w:rPr>
          <w:rFonts w:cs="Courier New"/>
        </w:rPr>
        <w:t>Yamaguro</w:t>
      </w:r>
      <w:proofErr w:type="spellEnd"/>
      <w:r w:rsidRPr="00FC08F7">
        <w:rPr>
          <w:rFonts w:cs="Courier New"/>
        </w:rPr>
        <w:t xml:space="preserve"> e/ou outros, situa-se do lado direito da Rodovia SP-294, no sentido de </w:t>
      </w:r>
      <w:proofErr w:type="spellStart"/>
      <w:r w:rsidRPr="00FC08F7">
        <w:rPr>
          <w:rFonts w:cs="Courier New"/>
        </w:rPr>
        <w:t>Iacri</w:t>
      </w:r>
      <w:proofErr w:type="spellEnd"/>
      <w:r w:rsidRPr="00FC08F7">
        <w:rPr>
          <w:rFonts w:cs="Courier New"/>
        </w:rPr>
        <w:t xml:space="preserve"> a Parapuã, no Município de Parapuã, Comarca de Osvaldo Cruz, e tem linha de divisa que, partindo do ponto denominado 1, de coordenadas N=7.585.761,0579 e E=527.404,1550, </w:t>
      </w:r>
      <w:r w:rsidRPr="00FC08F7">
        <w:rPr>
          <w:rFonts w:cs="Courier New"/>
        </w:rPr>
        <w:lastRenderedPageBreak/>
        <w:t>segue em linha reta, confrontando com a faixa de domínio da Rodovia SP-294, com azimute de 308°17'54" e distância de 80,56m até o ponto 2, de coordenadas N=7.585.810,9861 e E=527.340,9315; desse ponto, deflete à direita, confrontando com a área pertencente à Matrícula 2.679 do 1° CRI de Osvaldo Cruz, com azimute de 41°05'17" e distância de 48,45m até o ponto 3, de coordenadas N=7.585.847,5018 e E=527.372,7728; desse ponto, deflete à direita, confrontando com a área remanescente, com os seguintes azimutes e distâncias: 127°41'51" e 6,83m até o ponto 4, de coordenadas N=7.585.843,3276 e E=527.378,1740; 127°58'55" e 20,00m até o ponto 5, de coordenadas N=7.585.831,0205 e E=527.393,9368; 125°06'04" e 9,94m até o ponto 6, de coordenadas N=7.585.825,3067 e E=527.402,0664; 115°56'35" e 8,71m até o ponto 7, de coordenadas N=7.585.821,4956 e E=527.409,8999; 127°47'09" e 4,00m até o ponto 8, de coordenadas N=7.585.819,0448 e E=527.413,0611; 141°22'06" e 12,89m até o ponto 9, de coordenadas N=7.585.808,9743 e E=527.421,1094; 126°33'22" e 14,40m até o ponto 10, de coordenadas N=7.585.800,3992 e E=527.432,6743; 126°33'22" e 4,06m até o ponto 11, de coordenadas N=7.585.797,9799 e E=527.435,9370; e, desse ponto, deflete à direita, confrontando com a estrada municipal de Parapuã, com azimute de 220°43'17" e distância de 48,72m até o ponto 1, que é referencial de partida da presente descrição, perfazendo uma área de 3.937,76m</w:t>
      </w:r>
      <w:r>
        <w:rPr>
          <w:rFonts w:cs="Courier New"/>
        </w:rPr>
        <w:t>²</w:t>
      </w:r>
      <w:r w:rsidRPr="00FC08F7">
        <w:rPr>
          <w:rFonts w:cs="Courier New"/>
        </w:rPr>
        <w:t xml:space="preserve"> (três mil novecentos e trinta e sete metros quadrados e setenta e seis decímetros quadrados);</w:t>
      </w:r>
    </w:p>
    <w:p w14:paraId="33411DA6" w14:textId="54CC72E2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 xml:space="preserve">V – área 6 - conforme a planta cadastral DE-SPD552294-551.554-430-D03/001, a área, que consta pertencer a David Gomes Pereira, Iracema Rocha Pereira, </w:t>
      </w:r>
      <w:proofErr w:type="spellStart"/>
      <w:r w:rsidRPr="00FC08F7">
        <w:rPr>
          <w:rFonts w:cs="Courier New"/>
        </w:rPr>
        <w:t>Carmélia</w:t>
      </w:r>
      <w:proofErr w:type="spellEnd"/>
      <w:r w:rsidRPr="00FC08F7">
        <w:rPr>
          <w:rFonts w:cs="Courier New"/>
        </w:rPr>
        <w:t xml:space="preserve"> Pereira da Rocha, Silvia Regina Pereira da Rocha Salomão, </w:t>
      </w:r>
      <w:proofErr w:type="spellStart"/>
      <w:r w:rsidRPr="00FC08F7">
        <w:rPr>
          <w:rFonts w:cs="Courier New"/>
        </w:rPr>
        <w:t>Adeilson</w:t>
      </w:r>
      <w:proofErr w:type="spellEnd"/>
      <w:r w:rsidRPr="00FC08F7">
        <w:rPr>
          <w:rFonts w:cs="Courier New"/>
        </w:rPr>
        <w:t xml:space="preserve"> Rodrigues Salomão, Maurício Pereira da Rocha, Zilda Miguel Rocha, Marcio Pereira da Rocha, Simone Domingues de Moraes Rocha, Maria Marcia Pereira da Rocha </w:t>
      </w:r>
      <w:proofErr w:type="spellStart"/>
      <w:r w:rsidRPr="00FC08F7">
        <w:rPr>
          <w:rFonts w:cs="Courier New"/>
        </w:rPr>
        <w:t>Juy</w:t>
      </w:r>
      <w:proofErr w:type="spellEnd"/>
      <w:r w:rsidRPr="00FC08F7">
        <w:rPr>
          <w:rFonts w:cs="Courier New"/>
        </w:rPr>
        <w:t xml:space="preserve">, Claudemir </w:t>
      </w:r>
      <w:proofErr w:type="spellStart"/>
      <w:r w:rsidRPr="00FC08F7">
        <w:rPr>
          <w:rFonts w:cs="Courier New"/>
        </w:rPr>
        <w:t>Murilles</w:t>
      </w:r>
      <w:proofErr w:type="spellEnd"/>
      <w:r w:rsidRPr="00FC08F7">
        <w:rPr>
          <w:rFonts w:cs="Courier New"/>
        </w:rPr>
        <w:t xml:space="preserve"> </w:t>
      </w:r>
      <w:proofErr w:type="spellStart"/>
      <w:r w:rsidRPr="00FC08F7">
        <w:rPr>
          <w:rFonts w:cs="Courier New"/>
        </w:rPr>
        <w:t>Juy</w:t>
      </w:r>
      <w:proofErr w:type="spellEnd"/>
      <w:r w:rsidRPr="00FC08F7">
        <w:rPr>
          <w:rFonts w:cs="Courier New"/>
        </w:rPr>
        <w:t xml:space="preserve">, Maria Francisca Pereira da Rocha Silveira, Emerson dos Santos Silveira, Cilene Pereira da Rocha </w:t>
      </w:r>
      <w:proofErr w:type="spellStart"/>
      <w:r w:rsidRPr="00FC08F7">
        <w:rPr>
          <w:rFonts w:cs="Courier New"/>
        </w:rPr>
        <w:t>Ricce</w:t>
      </w:r>
      <w:proofErr w:type="spellEnd"/>
      <w:r w:rsidRPr="00FC08F7">
        <w:rPr>
          <w:rFonts w:cs="Courier New"/>
        </w:rPr>
        <w:t xml:space="preserve">, Celso </w:t>
      </w:r>
      <w:proofErr w:type="spellStart"/>
      <w:r w:rsidRPr="00FC08F7">
        <w:rPr>
          <w:rFonts w:cs="Courier New"/>
        </w:rPr>
        <w:t>Ricce</w:t>
      </w:r>
      <w:proofErr w:type="spellEnd"/>
      <w:r w:rsidRPr="00FC08F7">
        <w:rPr>
          <w:rFonts w:cs="Courier New"/>
        </w:rPr>
        <w:t xml:space="preserve"> Junior, Silvana Pereira da Rocha e/ou outros, situa-se do lado direito da Rodovia SP-294, no sentido de </w:t>
      </w:r>
      <w:proofErr w:type="spellStart"/>
      <w:r w:rsidRPr="00FC08F7">
        <w:rPr>
          <w:rFonts w:cs="Courier New"/>
        </w:rPr>
        <w:t>Iacri</w:t>
      </w:r>
      <w:proofErr w:type="spellEnd"/>
      <w:r w:rsidRPr="00FC08F7">
        <w:rPr>
          <w:rFonts w:cs="Courier New"/>
        </w:rPr>
        <w:t xml:space="preserve"> a Parapuã, no Município de Parapuã, Comarca de Osvaldo Cruz, e tem linha de divisa que, partindo do ponto denominado 1, de coordenadas N=7.585.810,9861 e E=527.340,9315, segue em linha reta, confrontando com a faixa de domínio da Rodovia SP-294, com azimute de 308°19'08" e distância de 87,71m até o ponto 2, de coordenadas N=7.585.865,3680 e E=527.272,1190; desse ponto, deflete à direita, confrontando com a área pertencente à Matrícula 24.791 do 1° CRI de Osvaldo Cruz, com azimute de 41°35'51" e distância de 5,50m até o ponto 3, de coordenadas N=7.585.869,4839 e E=527.275,7729; desse ponto, deflete à direita, confrontando com a área remanescente, com os seguintes azimutes e distâncias: 128°45'47" e 4,62m até o ponto 4, de coordenadas N=7.585.866,5928 e E=527.279,3734; 118°55'28" e 8,76m até o ponto 5, de coordenadas N=7.585.862,3581 e E=527.287,0369; 42°43'31" e 9,99m até o ponto 6, de coordenadas N=7.585.869,6986 e E=527.293,8166; 50°57'54" e 9,92m até o ponto 7, de coordenadas N=7.585.875,9455 e E=527.301,5212; 67°03'28" e 9,91m até o ponto 8, de coordenadas N=7.585.879,8087 e E=527.310,6478; 83°28'30" e 9,92m até o ponto 9, de coordenadas N=7.585.880,9355 e E=527.320,4997; 100°56'42" e 9,86m até o ponto 10, de coordenadas N=7.585.879,0630 e E=527.330,1826; 119°11'47" e 9,94m até o ponto 11, de coordenadas N=7.585.874,2148 e E=527.338,8587; 128°23'41" e 10,00m até o ponto 12, de coordenadas N=7.585.868,0041 e E=527.346,6962; 128°37'34" e 10,00m até o ponto 13, de coordenadas N=7.585.861,7617 e E=527.354,5086; 128°35'07" e 10,00m até o ponto 14, de coordenadas N=7.585.855,5249 e E=527.362,3254; 127°58'36" e 10,00m até o ponto 15, de coordenadas N=7.585.849,3719 e E=527.370,2075; </w:t>
      </w:r>
      <w:r w:rsidRPr="00FC08F7">
        <w:rPr>
          <w:rFonts w:cs="Courier New"/>
        </w:rPr>
        <w:lastRenderedPageBreak/>
        <w:t>126°05'29" e 3,17m até o ponto 16, de coordenadas N=7.585.847,5018 e E=527.372,7728; e, desse ponto, deflete à direita, confrontando com a área pertencente à Matrícula 3.162 do 1° CRI de Osvaldo Cruz/SP, com azimute de 221°05'17" e distância de 48,45m até o ponto 1, que é referencial de partida da presente descrição, perfazendo uma área de 3.438,33m</w:t>
      </w:r>
      <w:r>
        <w:rPr>
          <w:rFonts w:cs="Courier New"/>
        </w:rPr>
        <w:t>²</w:t>
      </w:r>
      <w:r w:rsidRPr="00FC08F7">
        <w:rPr>
          <w:rFonts w:cs="Courier New"/>
        </w:rPr>
        <w:t xml:space="preserve"> (três mil quatrocentos e trinta e oito metros quadrados e trinta e três decímetros quadrados);</w:t>
      </w:r>
    </w:p>
    <w:p w14:paraId="641B2F49" w14:textId="7F10F48D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 xml:space="preserve">VI – área 7 - conforme a planta cadastral DE-SPD552294-551.554-430-D03/001, a área, que consta pertencer a Eduardo Gimenes Ortiz </w:t>
      </w:r>
      <w:proofErr w:type="spellStart"/>
      <w:r w:rsidRPr="00FC08F7">
        <w:rPr>
          <w:rFonts w:cs="Courier New"/>
        </w:rPr>
        <w:t>Idalgo</w:t>
      </w:r>
      <w:proofErr w:type="spellEnd"/>
      <w:r w:rsidRPr="00FC08F7">
        <w:rPr>
          <w:rFonts w:cs="Courier New"/>
        </w:rPr>
        <w:t xml:space="preserve">, Maria de Lourdes Ortiz Gimenes </w:t>
      </w:r>
      <w:proofErr w:type="spellStart"/>
      <w:r w:rsidRPr="00FC08F7">
        <w:rPr>
          <w:rFonts w:cs="Courier New"/>
        </w:rPr>
        <w:t>Gullo</w:t>
      </w:r>
      <w:proofErr w:type="spellEnd"/>
      <w:r w:rsidRPr="00FC08F7">
        <w:rPr>
          <w:rFonts w:cs="Courier New"/>
        </w:rPr>
        <w:t xml:space="preserve"> Pereira, Carlos Roberto </w:t>
      </w:r>
      <w:proofErr w:type="spellStart"/>
      <w:r w:rsidRPr="00FC08F7">
        <w:rPr>
          <w:rFonts w:cs="Courier New"/>
        </w:rPr>
        <w:t>Gullo</w:t>
      </w:r>
      <w:proofErr w:type="spellEnd"/>
      <w:r w:rsidRPr="00FC08F7">
        <w:rPr>
          <w:rFonts w:cs="Courier New"/>
        </w:rPr>
        <w:t xml:space="preserve"> Pereira, Júlia Ortiz Gimenes Scarpelli, Miguel Jorge Scarpelli e/ou outros, situa-se do lado direito da Rodovia SP-294, no sentido de </w:t>
      </w:r>
      <w:proofErr w:type="spellStart"/>
      <w:r w:rsidRPr="00FC08F7">
        <w:rPr>
          <w:rFonts w:cs="Courier New"/>
        </w:rPr>
        <w:t>Iacri</w:t>
      </w:r>
      <w:proofErr w:type="spellEnd"/>
      <w:r w:rsidRPr="00FC08F7">
        <w:rPr>
          <w:rFonts w:cs="Courier New"/>
        </w:rPr>
        <w:t xml:space="preserve"> a Parapuã, no Município de Parapuã, Comarca de Osvaldo Cruz, e tem linha de divisa que, partindo do ponto denominado 1, de coordenadas N=7.585.865,3680 e E=527.272,1190, segue em linha reta, confrontando com a faixa de domínio da Rodovia SP-294, com azimute de 307°44'07" e distância de 121,36m até o ponto 2, de coordenadas N=7.585.939,6419 e E=527.176,1420; desse ponto, deflete à direita, confrontando com a área remanescente, com os seguintes azimutes e distâncias: 123°21'25" e 6,49m até o ponto 3, de coordenadas N=7.585.936,0725 e E=527.181,5642; 124°34'52" e 40,00m até o ponto 4, de coordenadas N=7.585.913,3697 e E=527.214,4972; 125°13'24" e 40,00m até o ponto 5, de coordenadas N=7.585.890,2995 e E=527.247,1731; 125°33'39" e 30,00m até o ponto 6, de coordenadas N=7.585.872,8538 e E=527.271,5760; 128°45'47" e 5,38m até o ponto 7, de coordenadas N=7.585.869,4839 e E=527.275,7729; e, desse ponto, deflete à direita, confrontando com a área pertencente à Matrícula 2.679 do 1° CRI de Osvaldo Cruz, com azimute de 221°35'51" e distância de 5,50m até o ponto 1, que é referencial de partida da presente descrição, perfazendo uma área de 387,37m</w:t>
      </w:r>
      <w:r>
        <w:rPr>
          <w:rFonts w:cs="Courier New"/>
        </w:rPr>
        <w:t>²</w:t>
      </w:r>
      <w:r w:rsidRPr="00FC08F7">
        <w:rPr>
          <w:rFonts w:cs="Courier New"/>
        </w:rPr>
        <w:t xml:space="preserve"> (trezentos e oitenta e sete metros quadrados e trinta e sete decímetros quadrados).</w:t>
      </w:r>
    </w:p>
    <w:p w14:paraId="01F1F664" w14:textId="77777777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>Artigo 2º - Fica a Eixo SP Concessionária de Rodovias S/A autorizada a invocar o caráter de urgência no processo judicial de desapropriação, para fins do disposto no artigo 15 do Decreto-Lei federal n° 3.365, de 21 de junho de 1941, e alterações posteriores, devendo a carta de adjudicação ser expedida em nome do Departamento de Estradas de Rodagem – DER.</w:t>
      </w:r>
    </w:p>
    <w:p w14:paraId="3A85F8E6" w14:textId="77777777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>Artigo 3º - As despesas com a execução do presente decreto correrão por conta de verba própria da Eixo SP Concessionária de Rodovias S/A.</w:t>
      </w:r>
    </w:p>
    <w:p w14:paraId="40AA6D98" w14:textId="77777777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>Artigo 4º - Ficam excluídos da presente declaração de utilidade pública os imóveis de propriedade de pessoas jurídicas de direito público eventualmente situados dentro dos perímetros descritos no artigo 1° deste decreto.</w:t>
      </w:r>
    </w:p>
    <w:p w14:paraId="653B291F" w14:textId="77777777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>Artigo 5º - Este decreto entra em vigor na data de sua publicação.</w:t>
      </w:r>
    </w:p>
    <w:p w14:paraId="29A5805A" w14:textId="77777777" w:rsidR="00FC08F7" w:rsidRPr="00FC08F7" w:rsidRDefault="00FC08F7" w:rsidP="00FC08F7">
      <w:pPr>
        <w:spacing w:before="60" w:after="60" w:line="240" w:lineRule="auto"/>
        <w:ind w:firstLine="1440"/>
        <w:jc w:val="both"/>
        <w:rPr>
          <w:rFonts w:cs="Courier New"/>
        </w:rPr>
      </w:pPr>
      <w:r w:rsidRPr="00FC08F7">
        <w:rPr>
          <w:rFonts w:cs="Courier New"/>
        </w:rPr>
        <w:t>Palácio dos Bandeirantes, 25 de outubro de 2022</w:t>
      </w:r>
    </w:p>
    <w:p w14:paraId="1F1AB747" w14:textId="4D39BA5C" w:rsidR="007E136C" w:rsidRPr="00FC08F7" w:rsidRDefault="00FC08F7" w:rsidP="00FC08F7">
      <w:pPr>
        <w:spacing w:before="60" w:after="60" w:line="240" w:lineRule="auto"/>
        <w:ind w:firstLine="1440"/>
        <w:jc w:val="both"/>
      </w:pPr>
      <w:r w:rsidRPr="00FC08F7">
        <w:rPr>
          <w:rFonts w:cs="Courier New"/>
        </w:rPr>
        <w:t>RODRIGO GARCIA</w:t>
      </w:r>
    </w:p>
    <w:sectPr w:rsidR="007E136C" w:rsidRPr="00FC08F7" w:rsidSect="008A65B0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2760"/>
    <w:rsid w:val="0000677F"/>
    <w:rsid w:val="00012A2A"/>
    <w:rsid w:val="00015195"/>
    <w:rsid w:val="0001623E"/>
    <w:rsid w:val="00021E3D"/>
    <w:rsid w:val="0002294B"/>
    <w:rsid w:val="00032E6D"/>
    <w:rsid w:val="000346B4"/>
    <w:rsid w:val="00045E9C"/>
    <w:rsid w:val="0005271D"/>
    <w:rsid w:val="00054837"/>
    <w:rsid w:val="00054F6B"/>
    <w:rsid w:val="00057CC9"/>
    <w:rsid w:val="000628A5"/>
    <w:rsid w:val="00064098"/>
    <w:rsid w:val="00065D87"/>
    <w:rsid w:val="00071C2B"/>
    <w:rsid w:val="000724C0"/>
    <w:rsid w:val="0007295A"/>
    <w:rsid w:val="00075907"/>
    <w:rsid w:val="0008329D"/>
    <w:rsid w:val="000851BE"/>
    <w:rsid w:val="000858E5"/>
    <w:rsid w:val="000919C0"/>
    <w:rsid w:val="000932C6"/>
    <w:rsid w:val="0009370A"/>
    <w:rsid w:val="0009483E"/>
    <w:rsid w:val="00096293"/>
    <w:rsid w:val="00096D13"/>
    <w:rsid w:val="000974CA"/>
    <w:rsid w:val="000A01C3"/>
    <w:rsid w:val="000A0B91"/>
    <w:rsid w:val="000A2522"/>
    <w:rsid w:val="000A2D50"/>
    <w:rsid w:val="000A724B"/>
    <w:rsid w:val="000B0BF0"/>
    <w:rsid w:val="000B1EAD"/>
    <w:rsid w:val="000B2F21"/>
    <w:rsid w:val="000B39DA"/>
    <w:rsid w:val="000B7289"/>
    <w:rsid w:val="000C13F7"/>
    <w:rsid w:val="000C1C52"/>
    <w:rsid w:val="000D04B1"/>
    <w:rsid w:val="000D1236"/>
    <w:rsid w:val="000E1006"/>
    <w:rsid w:val="000E7307"/>
    <w:rsid w:val="000E7F32"/>
    <w:rsid w:val="000F1BF8"/>
    <w:rsid w:val="000F45CF"/>
    <w:rsid w:val="000F627F"/>
    <w:rsid w:val="000F62F3"/>
    <w:rsid w:val="0010427F"/>
    <w:rsid w:val="00112EF4"/>
    <w:rsid w:val="00113020"/>
    <w:rsid w:val="00113852"/>
    <w:rsid w:val="00113FEE"/>
    <w:rsid w:val="0011449A"/>
    <w:rsid w:val="00115E65"/>
    <w:rsid w:val="00120AAD"/>
    <w:rsid w:val="00120C21"/>
    <w:rsid w:val="00124CBF"/>
    <w:rsid w:val="0012654F"/>
    <w:rsid w:val="00131D22"/>
    <w:rsid w:val="001354EB"/>
    <w:rsid w:val="0014139B"/>
    <w:rsid w:val="00146155"/>
    <w:rsid w:val="00151FD8"/>
    <w:rsid w:val="00156C74"/>
    <w:rsid w:val="0015764E"/>
    <w:rsid w:val="0016298E"/>
    <w:rsid w:val="001643CA"/>
    <w:rsid w:val="00167F6C"/>
    <w:rsid w:val="0018033B"/>
    <w:rsid w:val="00182ADD"/>
    <w:rsid w:val="001830D8"/>
    <w:rsid w:val="00184D80"/>
    <w:rsid w:val="00186C45"/>
    <w:rsid w:val="00192ACC"/>
    <w:rsid w:val="001A043C"/>
    <w:rsid w:val="001A5513"/>
    <w:rsid w:val="001B3296"/>
    <w:rsid w:val="001B5DB0"/>
    <w:rsid w:val="001C2960"/>
    <w:rsid w:val="001C3B95"/>
    <w:rsid w:val="001C4A71"/>
    <w:rsid w:val="001C5D01"/>
    <w:rsid w:val="001D11C3"/>
    <w:rsid w:val="001D2C54"/>
    <w:rsid w:val="001D47AA"/>
    <w:rsid w:val="001E1CC9"/>
    <w:rsid w:val="001E38AD"/>
    <w:rsid w:val="001E5DA5"/>
    <w:rsid w:val="001F15A3"/>
    <w:rsid w:val="001F488E"/>
    <w:rsid w:val="001F6E85"/>
    <w:rsid w:val="00204759"/>
    <w:rsid w:val="00212C7C"/>
    <w:rsid w:val="00214636"/>
    <w:rsid w:val="00220BF6"/>
    <w:rsid w:val="00220C22"/>
    <w:rsid w:val="00231C37"/>
    <w:rsid w:val="00235EBD"/>
    <w:rsid w:val="00242AF8"/>
    <w:rsid w:val="00242DD0"/>
    <w:rsid w:val="00243CD7"/>
    <w:rsid w:val="00251980"/>
    <w:rsid w:val="0026044A"/>
    <w:rsid w:val="0026260D"/>
    <w:rsid w:val="002637B3"/>
    <w:rsid w:val="00267A13"/>
    <w:rsid w:val="00275067"/>
    <w:rsid w:val="00282AE6"/>
    <w:rsid w:val="0028307A"/>
    <w:rsid w:val="00285D90"/>
    <w:rsid w:val="0028751E"/>
    <w:rsid w:val="0029051D"/>
    <w:rsid w:val="00292CDA"/>
    <w:rsid w:val="002970CC"/>
    <w:rsid w:val="002A3968"/>
    <w:rsid w:val="002B26B2"/>
    <w:rsid w:val="002B2DAB"/>
    <w:rsid w:val="002B4DCA"/>
    <w:rsid w:val="002B5CDD"/>
    <w:rsid w:val="002B65AC"/>
    <w:rsid w:val="002C4C70"/>
    <w:rsid w:val="002C701E"/>
    <w:rsid w:val="002C7C81"/>
    <w:rsid w:val="002D2502"/>
    <w:rsid w:val="002D4374"/>
    <w:rsid w:val="002E2C1F"/>
    <w:rsid w:val="002E697A"/>
    <w:rsid w:val="002F644D"/>
    <w:rsid w:val="00302D37"/>
    <w:rsid w:val="00305349"/>
    <w:rsid w:val="00306582"/>
    <w:rsid w:val="003138FC"/>
    <w:rsid w:val="00314163"/>
    <w:rsid w:val="00316C31"/>
    <w:rsid w:val="00316E0C"/>
    <w:rsid w:val="00320726"/>
    <w:rsid w:val="00321F0A"/>
    <w:rsid w:val="003251CC"/>
    <w:rsid w:val="00325BEA"/>
    <w:rsid w:val="00333007"/>
    <w:rsid w:val="003376AA"/>
    <w:rsid w:val="003418E4"/>
    <w:rsid w:val="003419EB"/>
    <w:rsid w:val="00341FD7"/>
    <w:rsid w:val="0034299E"/>
    <w:rsid w:val="00343833"/>
    <w:rsid w:val="00343EDB"/>
    <w:rsid w:val="003477F8"/>
    <w:rsid w:val="00351AA6"/>
    <w:rsid w:val="00353DEA"/>
    <w:rsid w:val="0036174D"/>
    <w:rsid w:val="00362952"/>
    <w:rsid w:val="00362A93"/>
    <w:rsid w:val="003638D6"/>
    <w:rsid w:val="00366759"/>
    <w:rsid w:val="00370057"/>
    <w:rsid w:val="0037018D"/>
    <w:rsid w:val="0037121C"/>
    <w:rsid w:val="00374629"/>
    <w:rsid w:val="00385402"/>
    <w:rsid w:val="003859AE"/>
    <w:rsid w:val="00386032"/>
    <w:rsid w:val="00390444"/>
    <w:rsid w:val="003933E4"/>
    <w:rsid w:val="0039593B"/>
    <w:rsid w:val="003A1415"/>
    <w:rsid w:val="003A1DBE"/>
    <w:rsid w:val="003A2836"/>
    <w:rsid w:val="003A29BE"/>
    <w:rsid w:val="003A4828"/>
    <w:rsid w:val="003B16EB"/>
    <w:rsid w:val="003B2D01"/>
    <w:rsid w:val="003B53B1"/>
    <w:rsid w:val="003B5837"/>
    <w:rsid w:val="003C6398"/>
    <w:rsid w:val="003D5426"/>
    <w:rsid w:val="003D5647"/>
    <w:rsid w:val="003E3F2D"/>
    <w:rsid w:val="003E59B9"/>
    <w:rsid w:val="003F254C"/>
    <w:rsid w:val="003F56FF"/>
    <w:rsid w:val="003F6126"/>
    <w:rsid w:val="003F7DA1"/>
    <w:rsid w:val="004006F6"/>
    <w:rsid w:val="0040342D"/>
    <w:rsid w:val="00403CD0"/>
    <w:rsid w:val="0040405C"/>
    <w:rsid w:val="004055BC"/>
    <w:rsid w:val="00406102"/>
    <w:rsid w:val="004123C0"/>
    <w:rsid w:val="004237F2"/>
    <w:rsid w:val="004240E1"/>
    <w:rsid w:val="004248A2"/>
    <w:rsid w:val="00424EE1"/>
    <w:rsid w:val="00425814"/>
    <w:rsid w:val="004274D3"/>
    <w:rsid w:val="00427764"/>
    <w:rsid w:val="004328E3"/>
    <w:rsid w:val="00443813"/>
    <w:rsid w:val="004514EC"/>
    <w:rsid w:val="00451CC4"/>
    <w:rsid w:val="00457342"/>
    <w:rsid w:val="00460EF8"/>
    <w:rsid w:val="004653F9"/>
    <w:rsid w:val="0046687B"/>
    <w:rsid w:val="00467936"/>
    <w:rsid w:val="00473B2D"/>
    <w:rsid w:val="00474B96"/>
    <w:rsid w:val="00476211"/>
    <w:rsid w:val="00480D46"/>
    <w:rsid w:val="00483194"/>
    <w:rsid w:val="004873B4"/>
    <w:rsid w:val="00487D9E"/>
    <w:rsid w:val="00490D9C"/>
    <w:rsid w:val="00490F0B"/>
    <w:rsid w:val="00493010"/>
    <w:rsid w:val="004937E4"/>
    <w:rsid w:val="0049714C"/>
    <w:rsid w:val="004B1D6C"/>
    <w:rsid w:val="004B30B9"/>
    <w:rsid w:val="004C1068"/>
    <w:rsid w:val="004C4F4D"/>
    <w:rsid w:val="004D4F62"/>
    <w:rsid w:val="004D76BC"/>
    <w:rsid w:val="004E070F"/>
    <w:rsid w:val="004E1025"/>
    <w:rsid w:val="004E1AEA"/>
    <w:rsid w:val="004E2986"/>
    <w:rsid w:val="004E69CE"/>
    <w:rsid w:val="004F3267"/>
    <w:rsid w:val="004F54D7"/>
    <w:rsid w:val="004F75B3"/>
    <w:rsid w:val="00503AAF"/>
    <w:rsid w:val="0051018F"/>
    <w:rsid w:val="00514384"/>
    <w:rsid w:val="0051514C"/>
    <w:rsid w:val="005227C8"/>
    <w:rsid w:val="00523C68"/>
    <w:rsid w:val="0052771E"/>
    <w:rsid w:val="00536C2E"/>
    <w:rsid w:val="00537196"/>
    <w:rsid w:val="005379D6"/>
    <w:rsid w:val="005400D2"/>
    <w:rsid w:val="00546072"/>
    <w:rsid w:val="005471BD"/>
    <w:rsid w:val="0055023D"/>
    <w:rsid w:val="00550FB6"/>
    <w:rsid w:val="005528A3"/>
    <w:rsid w:val="00554804"/>
    <w:rsid w:val="00561326"/>
    <w:rsid w:val="00561759"/>
    <w:rsid w:val="0056449B"/>
    <w:rsid w:val="00565609"/>
    <w:rsid w:val="00566BA1"/>
    <w:rsid w:val="00572FA8"/>
    <w:rsid w:val="00574120"/>
    <w:rsid w:val="00574C52"/>
    <w:rsid w:val="005776C2"/>
    <w:rsid w:val="00580B48"/>
    <w:rsid w:val="00584596"/>
    <w:rsid w:val="00586B36"/>
    <w:rsid w:val="00592819"/>
    <w:rsid w:val="00595235"/>
    <w:rsid w:val="005952F6"/>
    <w:rsid w:val="005973A3"/>
    <w:rsid w:val="005976B6"/>
    <w:rsid w:val="00597B6E"/>
    <w:rsid w:val="00597D87"/>
    <w:rsid w:val="005A2D1B"/>
    <w:rsid w:val="005B4793"/>
    <w:rsid w:val="005B507D"/>
    <w:rsid w:val="005B5C07"/>
    <w:rsid w:val="005B5DED"/>
    <w:rsid w:val="005B6074"/>
    <w:rsid w:val="005D26AF"/>
    <w:rsid w:val="005D5027"/>
    <w:rsid w:val="005D6384"/>
    <w:rsid w:val="005D6B0E"/>
    <w:rsid w:val="005D7615"/>
    <w:rsid w:val="005E3B63"/>
    <w:rsid w:val="005E5EC6"/>
    <w:rsid w:val="005F23BB"/>
    <w:rsid w:val="005F3F0C"/>
    <w:rsid w:val="005F5379"/>
    <w:rsid w:val="005F5B31"/>
    <w:rsid w:val="005F6097"/>
    <w:rsid w:val="005F60EA"/>
    <w:rsid w:val="005F69C2"/>
    <w:rsid w:val="005F69D5"/>
    <w:rsid w:val="0060182F"/>
    <w:rsid w:val="00603505"/>
    <w:rsid w:val="00605A4E"/>
    <w:rsid w:val="006065FA"/>
    <w:rsid w:val="00610984"/>
    <w:rsid w:val="00616629"/>
    <w:rsid w:val="00616B3F"/>
    <w:rsid w:val="0062788C"/>
    <w:rsid w:val="006305AC"/>
    <w:rsid w:val="00630C7C"/>
    <w:rsid w:val="0063163C"/>
    <w:rsid w:val="00635CFC"/>
    <w:rsid w:val="006465C2"/>
    <w:rsid w:val="00650341"/>
    <w:rsid w:val="0065534A"/>
    <w:rsid w:val="0065613C"/>
    <w:rsid w:val="00656FB9"/>
    <w:rsid w:val="00656FF3"/>
    <w:rsid w:val="00657110"/>
    <w:rsid w:val="0065750D"/>
    <w:rsid w:val="00660DCD"/>
    <w:rsid w:val="00661C95"/>
    <w:rsid w:val="00664AC3"/>
    <w:rsid w:val="00666182"/>
    <w:rsid w:val="00666855"/>
    <w:rsid w:val="00667538"/>
    <w:rsid w:val="00671EEC"/>
    <w:rsid w:val="00671F06"/>
    <w:rsid w:val="006753B4"/>
    <w:rsid w:val="00677286"/>
    <w:rsid w:val="0068046D"/>
    <w:rsid w:val="00680DBA"/>
    <w:rsid w:val="00683BBC"/>
    <w:rsid w:val="00695E16"/>
    <w:rsid w:val="006A0ECB"/>
    <w:rsid w:val="006A1C81"/>
    <w:rsid w:val="006A3C74"/>
    <w:rsid w:val="006A5D5D"/>
    <w:rsid w:val="006A7BB6"/>
    <w:rsid w:val="006B0136"/>
    <w:rsid w:val="006C07D4"/>
    <w:rsid w:val="006C16E4"/>
    <w:rsid w:val="006C2A8C"/>
    <w:rsid w:val="006C69DA"/>
    <w:rsid w:val="006C79A9"/>
    <w:rsid w:val="006D0A31"/>
    <w:rsid w:val="006F00E1"/>
    <w:rsid w:val="006F11CC"/>
    <w:rsid w:val="006F1925"/>
    <w:rsid w:val="006F56A5"/>
    <w:rsid w:val="00703982"/>
    <w:rsid w:val="00703B7E"/>
    <w:rsid w:val="00713CDC"/>
    <w:rsid w:val="00715C08"/>
    <w:rsid w:val="007177E0"/>
    <w:rsid w:val="00727BCE"/>
    <w:rsid w:val="007323EB"/>
    <w:rsid w:val="00736970"/>
    <w:rsid w:val="007369E3"/>
    <w:rsid w:val="007508E1"/>
    <w:rsid w:val="0075389E"/>
    <w:rsid w:val="00756793"/>
    <w:rsid w:val="00757C89"/>
    <w:rsid w:val="00761379"/>
    <w:rsid w:val="00763145"/>
    <w:rsid w:val="00765C21"/>
    <w:rsid w:val="007738A7"/>
    <w:rsid w:val="00774786"/>
    <w:rsid w:val="00780494"/>
    <w:rsid w:val="00781576"/>
    <w:rsid w:val="00781C5A"/>
    <w:rsid w:val="0078232A"/>
    <w:rsid w:val="00785907"/>
    <w:rsid w:val="00790A22"/>
    <w:rsid w:val="00794C42"/>
    <w:rsid w:val="0079570A"/>
    <w:rsid w:val="00796545"/>
    <w:rsid w:val="00796E6D"/>
    <w:rsid w:val="007A2DBE"/>
    <w:rsid w:val="007A311B"/>
    <w:rsid w:val="007A3224"/>
    <w:rsid w:val="007A67E8"/>
    <w:rsid w:val="007A690A"/>
    <w:rsid w:val="007A729E"/>
    <w:rsid w:val="007B0C72"/>
    <w:rsid w:val="007C36C3"/>
    <w:rsid w:val="007C3F8D"/>
    <w:rsid w:val="007D0277"/>
    <w:rsid w:val="007D094C"/>
    <w:rsid w:val="007D16D6"/>
    <w:rsid w:val="007D5053"/>
    <w:rsid w:val="007E1000"/>
    <w:rsid w:val="007E136C"/>
    <w:rsid w:val="007E27AD"/>
    <w:rsid w:val="007E2FFB"/>
    <w:rsid w:val="007E4DCA"/>
    <w:rsid w:val="007F6B70"/>
    <w:rsid w:val="007F72DB"/>
    <w:rsid w:val="008054E4"/>
    <w:rsid w:val="00807382"/>
    <w:rsid w:val="00813EFC"/>
    <w:rsid w:val="00813F96"/>
    <w:rsid w:val="00817021"/>
    <w:rsid w:val="00821772"/>
    <w:rsid w:val="0082268D"/>
    <w:rsid w:val="00823599"/>
    <w:rsid w:val="00835A00"/>
    <w:rsid w:val="00837522"/>
    <w:rsid w:val="00842933"/>
    <w:rsid w:val="00844F1A"/>
    <w:rsid w:val="008452FA"/>
    <w:rsid w:val="00851620"/>
    <w:rsid w:val="00854226"/>
    <w:rsid w:val="00855B24"/>
    <w:rsid w:val="008616B8"/>
    <w:rsid w:val="00863821"/>
    <w:rsid w:val="008653C1"/>
    <w:rsid w:val="008674E7"/>
    <w:rsid w:val="00874ACE"/>
    <w:rsid w:val="00874C4E"/>
    <w:rsid w:val="0087602E"/>
    <w:rsid w:val="00880A7F"/>
    <w:rsid w:val="00884066"/>
    <w:rsid w:val="00885A96"/>
    <w:rsid w:val="00885BE9"/>
    <w:rsid w:val="008A4965"/>
    <w:rsid w:val="008A4E41"/>
    <w:rsid w:val="008A65B0"/>
    <w:rsid w:val="008A79A4"/>
    <w:rsid w:val="008B0A4C"/>
    <w:rsid w:val="008B0F7C"/>
    <w:rsid w:val="008B2B4B"/>
    <w:rsid w:val="008B4D8A"/>
    <w:rsid w:val="008C0666"/>
    <w:rsid w:val="008C2CF0"/>
    <w:rsid w:val="008C4F67"/>
    <w:rsid w:val="008D28CF"/>
    <w:rsid w:val="008E0803"/>
    <w:rsid w:val="008F2B83"/>
    <w:rsid w:val="008F2E74"/>
    <w:rsid w:val="008F6666"/>
    <w:rsid w:val="008F6E56"/>
    <w:rsid w:val="008F6EC0"/>
    <w:rsid w:val="008F754F"/>
    <w:rsid w:val="00900ED4"/>
    <w:rsid w:val="00904057"/>
    <w:rsid w:val="00904C16"/>
    <w:rsid w:val="00920C2E"/>
    <w:rsid w:val="00921100"/>
    <w:rsid w:val="009241C2"/>
    <w:rsid w:val="00925B4D"/>
    <w:rsid w:val="00930181"/>
    <w:rsid w:val="00931C15"/>
    <w:rsid w:val="00932AA8"/>
    <w:rsid w:val="00936F63"/>
    <w:rsid w:val="00942C8C"/>
    <w:rsid w:val="00944CB3"/>
    <w:rsid w:val="009527F4"/>
    <w:rsid w:val="00955BA1"/>
    <w:rsid w:val="009564BF"/>
    <w:rsid w:val="00961EDD"/>
    <w:rsid w:val="00963BDA"/>
    <w:rsid w:val="00964A50"/>
    <w:rsid w:val="00965C42"/>
    <w:rsid w:val="009666AB"/>
    <w:rsid w:val="0096787D"/>
    <w:rsid w:val="00972121"/>
    <w:rsid w:val="00974BE9"/>
    <w:rsid w:val="0097679C"/>
    <w:rsid w:val="00977FCE"/>
    <w:rsid w:val="00981B0B"/>
    <w:rsid w:val="00983FFE"/>
    <w:rsid w:val="00984747"/>
    <w:rsid w:val="00987FF3"/>
    <w:rsid w:val="0099285E"/>
    <w:rsid w:val="00993053"/>
    <w:rsid w:val="009A1283"/>
    <w:rsid w:val="009C21F3"/>
    <w:rsid w:val="009C74A3"/>
    <w:rsid w:val="009D30A4"/>
    <w:rsid w:val="009D7F46"/>
    <w:rsid w:val="009E3E99"/>
    <w:rsid w:val="009E60E6"/>
    <w:rsid w:val="009F4E00"/>
    <w:rsid w:val="009F533D"/>
    <w:rsid w:val="009F5474"/>
    <w:rsid w:val="009F5C73"/>
    <w:rsid w:val="00A019AB"/>
    <w:rsid w:val="00A03A72"/>
    <w:rsid w:val="00A069D0"/>
    <w:rsid w:val="00A06F36"/>
    <w:rsid w:val="00A11E23"/>
    <w:rsid w:val="00A1551F"/>
    <w:rsid w:val="00A17592"/>
    <w:rsid w:val="00A2057E"/>
    <w:rsid w:val="00A300E0"/>
    <w:rsid w:val="00A3404F"/>
    <w:rsid w:val="00A36174"/>
    <w:rsid w:val="00A370DC"/>
    <w:rsid w:val="00A37504"/>
    <w:rsid w:val="00A4134C"/>
    <w:rsid w:val="00A41BF2"/>
    <w:rsid w:val="00A4381A"/>
    <w:rsid w:val="00A45B6D"/>
    <w:rsid w:val="00A512C0"/>
    <w:rsid w:val="00A574A9"/>
    <w:rsid w:val="00A63B65"/>
    <w:rsid w:val="00A66A7D"/>
    <w:rsid w:val="00A66D22"/>
    <w:rsid w:val="00A715AF"/>
    <w:rsid w:val="00A81232"/>
    <w:rsid w:val="00A833A2"/>
    <w:rsid w:val="00A86E09"/>
    <w:rsid w:val="00A90CAA"/>
    <w:rsid w:val="00A9473A"/>
    <w:rsid w:val="00AA047B"/>
    <w:rsid w:val="00AA0F7A"/>
    <w:rsid w:val="00AA1D28"/>
    <w:rsid w:val="00AA2791"/>
    <w:rsid w:val="00AA5EFA"/>
    <w:rsid w:val="00AA700E"/>
    <w:rsid w:val="00AD1A56"/>
    <w:rsid w:val="00AD3FD0"/>
    <w:rsid w:val="00AE6743"/>
    <w:rsid w:val="00AE6C6A"/>
    <w:rsid w:val="00AF25FF"/>
    <w:rsid w:val="00AF465F"/>
    <w:rsid w:val="00AF7B60"/>
    <w:rsid w:val="00B01EE7"/>
    <w:rsid w:val="00B022AD"/>
    <w:rsid w:val="00B0267E"/>
    <w:rsid w:val="00B031B2"/>
    <w:rsid w:val="00B04783"/>
    <w:rsid w:val="00B04D85"/>
    <w:rsid w:val="00B053CD"/>
    <w:rsid w:val="00B125C0"/>
    <w:rsid w:val="00B144EC"/>
    <w:rsid w:val="00B17944"/>
    <w:rsid w:val="00B21CB2"/>
    <w:rsid w:val="00B245D8"/>
    <w:rsid w:val="00B268CE"/>
    <w:rsid w:val="00B2723D"/>
    <w:rsid w:val="00B30B8C"/>
    <w:rsid w:val="00B338AF"/>
    <w:rsid w:val="00B3694E"/>
    <w:rsid w:val="00B36B04"/>
    <w:rsid w:val="00B41638"/>
    <w:rsid w:val="00B437C0"/>
    <w:rsid w:val="00B4383E"/>
    <w:rsid w:val="00B45523"/>
    <w:rsid w:val="00B508E4"/>
    <w:rsid w:val="00B50BFE"/>
    <w:rsid w:val="00B52B97"/>
    <w:rsid w:val="00B54DEC"/>
    <w:rsid w:val="00B55620"/>
    <w:rsid w:val="00B56232"/>
    <w:rsid w:val="00B57EFF"/>
    <w:rsid w:val="00B63B65"/>
    <w:rsid w:val="00B70E5B"/>
    <w:rsid w:val="00B774B0"/>
    <w:rsid w:val="00B82564"/>
    <w:rsid w:val="00B86D76"/>
    <w:rsid w:val="00B901BD"/>
    <w:rsid w:val="00B91884"/>
    <w:rsid w:val="00B9578B"/>
    <w:rsid w:val="00B96621"/>
    <w:rsid w:val="00BA488E"/>
    <w:rsid w:val="00BA7C5B"/>
    <w:rsid w:val="00BB2C7F"/>
    <w:rsid w:val="00BB39CB"/>
    <w:rsid w:val="00BB5F23"/>
    <w:rsid w:val="00BB689E"/>
    <w:rsid w:val="00BB6B1A"/>
    <w:rsid w:val="00BC0D8E"/>
    <w:rsid w:val="00BC10AC"/>
    <w:rsid w:val="00BC1308"/>
    <w:rsid w:val="00BC1601"/>
    <w:rsid w:val="00BC2807"/>
    <w:rsid w:val="00BC427C"/>
    <w:rsid w:val="00BC560F"/>
    <w:rsid w:val="00BC616D"/>
    <w:rsid w:val="00BD006A"/>
    <w:rsid w:val="00BD172F"/>
    <w:rsid w:val="00BD7326"/>
    <w:rsid w:val="00BF1DAF"/>
    <w:rsid w:val="00BF2D1A"/>
    <w:rsid w:val="00BF7599"/>
    <w:rsid w:val="00C0656D"/>
    <w:rsid w:val="00C10BA6"/>
    <w:rsid w:val="00C12C23"/>
    <w:rsid w:val="00C14880"/>
    <w:rsid w:val="00C15042"/>
    <w:rsid w:val="00C17133"/>
    <w:rsid w:val="00C1759A"/>
    <w:rsid w:val="00C22562"/>
    <w:rsid w:val="00C230D6"/>
    <w:rsid w:val="00C23DEF"/>
    <w:rsid w:val="00C24CC5"/>
    <w:rsid w:val="00C256D2"/>
    <w:rsid w:val="00C30830"/>
    <w:rsid w:val="00C3249F"/>
    <w:rsid w:val="00C34971"/>
    <w:rsid w:val="00C363DF"/>
    <w:rsid w:val="00C401BB"/>
    <w:rsid w:val="00C41157"/>
    <w:rsid w:val="00C43816"/>
    <w:rsid w:val="00C52F73"/>
    <w:rsid w:val="00C5432D"/>
    <w:rsid w:val="00C54A59"/>
    <w:rsid w:val="00C55A1D"/>
    <w:rsid w:val="00C562FD"/>
    <w:rsid w:val="00C61873"/>
    <w:rsid w:val="00C6353E"/>
    <w:rsid w:val="00C67306"/>
    <w:rsid w:val="00C67637"/>
    <w:rsid w:val="00C73848"/>
    <w:rsid w:val="00C75379"/>
    <w:rsid w:val="00C77968"/>
    <w:rsid w:val="00C77ABC"/>
    <w:rsid w:val="00C820FC"/>
    <w:rsid w:val="00C90394"/>
    <w:rsid w:val="00C92767"/>
    <w:rsid w:val="00C9486E"/>
    <w:rsid w:val="00C9577A"/>
    <w:rsid w:val="00CA08E6"/>
    <w:rsid w:val="00CA0A7E"/>
    <w:rsid w:val="00CA5E99"/>
    <w:rsid w:val="00CA661D"/>
    <w:rsid w:val="00CA7052"/>
    <w:rsid w:val="00CA727E"/>
    <w:rsid w:val="00CB085F"/>
    <w:rsid w:val="00CB1C35"/>
    <w:rsid w:val="00CB2BF0"/>
    <w:rsid w:val="00CB5793"/>
    <w:rsid w:val="00CB6F17"/>
    <w:rsid w:val="00CB6F59"/>
    <w:rsid w:val="00CC2019"/>
    <w:rsid w:val="00CC235D"/>
    <w:rsid w:val="00CC55E8"/>
    <w:rsid w:val="00CC57F3"/>
    <w:rsid w:val="00CD7188"/>
    <w:rsid w:val="00CE16A9"/>
    <w:rsid w:val="00CE16AA"/>
    <w:rsid w:val="00CE1E90"/>
    <w:rsid w:val="00CE41A9"/>
    <w:rsid w:val="00CE49E9"/>
    <w:rsid w:val="00CE56CB"/>
    <w:rsid w:val="00CE71AC"/>
    <w:rsid w:val="00CE79F7"/>
    <w:rsid w:val="00CE7A8A"/>
    <w:rsid w:val="00CF23C8"/>
    <w:rsid w:val="00CF253B"/>
    <w:rsid w:val="00D01C57"/>
    <w:rsid w:val="00D01F9C"/>
    <w:rsid w:val="00D109B5"/>
    <w:rsid w:val="00D1529E"/>
    <w:rsid w:val="00D2016C"/>
    <w:rsid w:val="00D257E7"/>
    <w:rsid w:val="00D262A1"/>
    <w:rsid w:val="00D26B86"/>
    <w:rsid w:val="00D27193"/>
    <w:rsid w:val="00D33529"/>
    <w:rsid w:val="00D37AE0"/>
    <w:rsid w:val="00D43294"/>
    <w:rsid w:val="00D457E9"/>
    <w:rsid w:val="00D520C5"/>
    <w:rsid w:val="00D711CD"/>
    <w:rsid w:val="00D72A4E"/>
    <w:rsid w:val="00D74636"/>
    <w:rsid w:val="00D82E49"/>
    <w:rsid w:val="00D83668"/>
    <w:rsid w:val="00D83D3D"/>
    <w:rsid w:val="00D87A8F"/>
    <w:rsid w:val="00D91563"/>
    <w:rsid w:val="00D97397"/>
    <w:rsid w:val="00DA05F3"/>
    <w:rsid w:val="00DA1B99"/>
    <w:rsid w:val="00DA2670"/>
    <w:rsid w:val="00DA3F19"/>
    <w:rsid w:val="00DB0B30"/>
    <w:rsid w:val="00DB0B62"/>
    <w:rsid w:val="00DB329E"/>
    <w:rsid w:val="00DC128D"/>
    <w:rsid w:val="00DC357A"/>
    <w:rsid w:val="00DC57F4"/>
    <w:rsid w:val="00DC78CA"/>
    <w:rsid w:val="00DD2CFC"/>
    <w:rsid w:val="00DD32CE"/>
    <w:rsid w:val="00DD3823"/>
    <w:rsid w:val="00DD6127"/>
    <w:rsid w:val="00DD7DC4"/>
    <w:rsid w:val="00DE50A7"/>
    <w:rsid w:val="00DF56F9"/>
    <w:rsid w:val="00DF60F2"/>
    <w:rsid w:val="00E019FF"/>
    <w:rsid w:val="00E03FD9"/>
    <w:rsid w:val="00E06758"/>
    <w:rsid w:val="00E10BF3"/>
    <w:rsid w:val="00E11ABC"/>
    <w:rsid w:val="00E157CC"/>
    <w:rsid w:val="00E2113F"/>
    <w:rsid w:val="00E24214"/>
    <w:rsid w:val="00E27508"/>
    <w:rsid w:val="00E30F0D"/>
    <w:rsid w:val="00E311B4"/>
    <w:rsid w:val="00E32162"/>
    <w:rsid w:val="00E32251"/>
    <w:rsid w:val="00E42226"/>
    <w:rsid w:val="00E4525F"/>
    <w:rsid w:val="00E462AB"/>
    <w:rsid w:val="00E51017"/>
    <w:rsid w:val="00E52210"/>
    <w:rsid w:val="00E57EDF"/>
    <w:rsid w:val="00E606FC"/>
    <w:rsid w:val="00E6187F"/>
    <w:rsid w:val="00E61C56"/>
    <w:rsid w:val="00E634E1"/>
    <w:rsid w:val="00E65886"/>
    <w:rsid w:val="00E67321"/>
    <w:rsid w:val="00E720DE"/>
    <w:rsid w:val="00E72D45"/>
    <w:rsid w:val="00E742F4"/>
    <w:rsid w:val="00E74C44"/>
    <w:rsid w:val="00E76112"/>
    <w:rsid w:val="00E76AFB"/>
    <w:rsid w:val="00E818C7"/>
    <w:rsid w:val="00E82640"/>
    <w:rsid w:val="00E834CE"/>
    <w:rsid w:val="00E838FC"/>
    <w:rsid w:val="00E83E9E"/>
    <w:rsid w:val="00E8773E"/>
    <w:rsid w:val="00E925B7"/>
    <w:rsid w:val="00E92B59"/>
    <w:rsid w:val="00E93569"/>
    <w:rsid w:val="00EB4C7D"/>
    <w:rsid w:val="00EB4EAC"/>
    <w:rsid w:val="00EB7D45"/>
    <w:rsid w:val="00EC1354"/>
    <w:rsid w:val="00EC2CB1"/>
    <w:rsid w:val="00EC4E45"/>
    <w:rsid w:val="00EC7694"/>
    <w:rsid w:val="00ED267C"/>
    <w:rsid w:val="00EE0E6E"/>
    <w:rsid w:val="00EE691B"/>
    <w:rsid w:val="00EF3722"/>
    <w:rsid w:val="00EF4503"/>
    <w:rsid w:val="00EF7865"/>
    <w:rsid w:val="00F04D30"/>
    <w:rsid w:val="00F06C15"/>
    <w:rsid w:val="00F074B9"/>
    <w:rsid w:val="00F15278"/>
    <w:rsid w:val="00F16301"/>
    <w:rsid w:val="00F22269"/>
    <w:rsid w:val="00F250C7"/>
    <w:rsid w:val="00F26C22"/>
    <w:rsid w:val="00F27A2E"/>
    <w:rsid w:val="00F3373F"/>
    <w:rsid w:val="00F41386"/>
    <w:rsid w:val="00F41573"/>
    <w:rsid w:val="00F4178F"/>
    <w:rsid w:val="00F41EFF"/>
    <w:rsid w:val="00F44409"/>
    <w:rsid w:val="00F4740E"/>
    <w:rsid w:val="00F51915"/>
    <w:rsid w:val="00F520AA"/>
    <w:rsid w:val="00F5501E"/>
    <w:rsid w:val="00F61F99"/>
    <w:rsid w:val="00F62021"/>
    <w:rsid w:val="00F63D83"/>
    <w:rsid w:val="00F64536"/>
    <w:rsid w:val="00F64F7A"/>
    <w:rsid w:val="00F65B73"/>
    <w:rsid w:val="00F664A1"/>
    <w:rsid w:val="00F66B49"/>
    <w:rsid w:val="00F71960"/>
    <w:rsid w:val="00F72904"/>
    <w:rsid w:val="00F736AE"/>
    <w:rsid w:val="00F811DF"/>
    <w:rsid w:val="00F83326"/>
    <w:rsid w:val="00F84EDF"/>
    <w:rsid w:val="00F855C4"/>
    <w:rsid w:val="00F856F3"/>
    <w:rsid w:val="00F90A13"/>
    <w:rsid w:val="00F90D7C"/>
    <w:rsid w:val="00F90EA3"/>
    <w:rsid w:val="00F91F8B"/>
    <w:rsid w:val="00F96123"/>
    <w:rsid w:val="00F97310"/>
    <w:rsid w:val="00FA0016"/>
    <w:rsid w:val="00FA0503"/>
    <w:rsid w:val="00FA2E09"/>
    <w:rsid w:val="00FA34A7"/>
    <w:rsid w:val="00FB0361"/>
    <w:rsid w:val="00FB60F4"/>
    <w:rsid w:val="00FB6192"/>
    <w:rsid w:val="00FC08F7"/>
    <w:rsid w:val="00FC2028"/>
    <w:rsid w:val="00FC33D0"/>
    <w:rsid w:val="00FC4D82"/>
    <w:rsid w:val="00FC5C0B"/>
    <w:rsid w:val="00FC75A4"/>
    <w:rsid w:val="00FD37B9"/>
    <w:rsid w:val="00FD420F"/>
    <w:rsid w:val="00FD5F47"/>
    <w:rsid w:val="00FD6384"/>
    <w:rsid w:val="00FE3562"/>
    <w:rsid w:val="00FE4BA0"/>
    <w:rsid w:val="00FE5BD0"/>
    <w:rsid w:val="00FE655A"/>
    <w:rsid w:val="00FF29E3"/>
    <w:rsid w:val="00FF487C"/>
    <w:rsid w:val="00FF4FA8"/>
    <w:rsid w:val="00FF6D6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  <w:style w:type="table" w:customStyle="1" w:styleId="Tabelacomgrade2">
    <w:name w:val="Tabela com grade2"/>
    <w:basedOn w:val="Tabelanormal"/>
    <w:next w:val="Tabelacomgrade"/>
    <w:rsid w:val="0024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2163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4</cp:revision>
  <dcterms:created xsi:type="dcterms:W3CDTF">2022-10-26T12:29:00Z</dcterms:created>
  <dcterms:modified xsi:type="dcterms:W3CDTF">2022-10-26T12:32:00Z</dcterms:modified>
</cp:coreProperties>
</file>