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2D" w:rsidRPr="007C602D" w:rsidRDefault="007C602D" w:rsidP="007C602D">
      <w:pPr>
        <w:pStyle w:val="TextosemFormatao"/>
        <w:spacing w:beforeLines="60" w:before="144" w:afterLines="60" w:after="144"/>
        <w:ind w:firstLine="1418"/>
        <w:rPr>
          <w:rFonts w:ascii="Helvetica" w:hAnsi="Helvetica"/>
          <w:b/>
          <w:sz w:val="22"/>
          <w:szCs w:val="22"/>
        </w:rPr>
      </w:pPr>
      <w:r w:rsidRPr="007C602D">
        <w:rPr>
          <w:rFonts w:ascii="Helvetica" w:hAnsi="Helvetica"/>
          <w:b/>
          <w:sz w:val="22"/>
          <w:szCs w:val="22"/>
        </w:rPr>
        <w:t>DECRETO Nº 65.051, DE 7 DE JULHO DE 2020</w:t>
      </w:r>
    </w:p>
    <w:p w:rsidR="007C602D" w:rsidRPr="007C602D" w:rsidRDefault="007C602D" w:rsidP="007C602D">
      <w:pPr>
        <w:pStyle w:val="TextosemFormatao"/>
        <w:spacing w:beforeLines="60" w:before="144" w:afterLines="60" w:after="144"/>
        <w:ind w:left="3686"/>
        <w:rPr>
          <w:rFonts w:ascii="Helvetica" w:hAnsi="Helvetica"/>
          <w:sz w:val="22"/>
          <w:szCs w:val="22"/>
        </w:rPr>
      </w:pPr>
      <w:r w:rsidRPr="007C602D">
        <w:rPr>
          <w:rFonts w:ascii="Helvetica" w:hAnsi="Helvetica"/>
          <w:sz w:val="22"/>
          <w:szCs w:val="22"/>
        </w:rPr>
        <w:t>Dispõe sobre a Lei n° 17.263, de 30 de abril de 2020, que autoriza a transferência à Conta Única do Tesouro Estadual de saldos positivos de fundos especiais de despesa, nos termos que especifica, e dá outras providências</w:t>
      </w:r>
    </w:p>
    <w:p w:rsidR="007C602D" w:rsidRPr="007C602D" w:rsidRDefault="007C602D" w:rsidP="007C602D">
      <w:pPr>
        <w:pStyle w:val="TextosemFormatao"/>
        <w:spacing w:beforeLines="60" w:before="144" w:afterLines="60" w:after="144"/>
        <w:ind w:firstLine="1418"/>
        <w:rPr>
          <w:rFonts w:ascii="Helvetica" w:hAnsi="Helvetica"/>
          <w:sz w:val="22"/>
          <w:szCs w:val="22"/>
        </w:rPr>
      </w:pPr>
      <w:r w:rsidRPr="007C602D">
        <w:rPr>
          <w:rFonts w:ascii="Helvetica" w:hAnsi="Helvetica"/>
          <w:sz w:val="22"/>
          <w:szCs w:val="22"/>
        </w:rPr>
        <w:t>JOÃO DORIA, GOVERNADOR DO ESTADO DE SÃO PAULO</w:t>
      </w:r>
      <w:r w:rsidRPr="007C602D">
        <w:rPr>
          <w:rFonts w:ascii="Helvetica" w:hAnsi="Helvetica"/>
          <w:sz w:val="22"/>
          <w:szCs w:val="22"/>
        </w:rPr>
        <w:t>, no uso de suas atribuições legais,</w:t>
      </w:r>
    </w:p>
    <w:p w:rsidR="007C602D" w:rsidRPr="007C602D" w:rsidRDefault="007C602D" w:rsidP="007C602D">
      <w:pPr>
        <w:pStyle w:val="TextosemFormatao"/>
        <w:spacing w:beforeLines="60" w:before="144" w:afterLines="60" w:after="144"/>
        <w:ind w:firstLine="1418"/>
        <w:rPr>
          <w:rFonts w:ascii="Helvetica" w:hAnsi="Helvetica"/>
          <w:bCs/>
          <w:sz w:val="22"/>
          <w:szCs w:val="22"/>
        </w:rPr>
      </w:pPr>
      <w:r w:rsidRPr="007C602D">
        <w:rPr>
          <w:rFonts w:ascii="Helvetica" w:hAnsi="Helvetica"/>
          <w:bCs/>
          <w:sz w:val="22"/>
          <w:szCs w:val="22"/>
        </w:rPr>
        <w:t>Decreta:</w:t>
      </w:r>
    </w:p>
    <w:p w:rsidR="007C602D" w:rsidRPr="007C602D" w:rsidRDefault="007C602D" w:rsidP="007C602D">
      <w:pPr>
        <w:pStyle w:val="TextosemFormatao"/>
        <w:spacing w:beforeLines="60" w:before="144" w:afterLines="60" w:after="144"/>
        <w:ind w:firstLine="1418"/>
        <w:rPr>
          <w:rFonts w:ascii="Helvetica" w:hAnsi="Helvetica"/>
          <w:sz w:val="22"/>
          <w:szCs w:val="22"/>
          <w:lang w:eastAsia="pt-BR"/>
        </w:rPr>
      </w:pPr>
      <w:r w:rsidRPr="007C602D">
        <w:rPr>
          <w:rFonts w:ascii="Helvetica" w:hAnsi="Helvetica"/>
          <w:sz w:val="22"/>
          <w:szCs w:val="22"/>
          <w:lang w:eastAsia="pt-BR"/>
        </w:rPr>
        <w:t>Artigo 1º - Este decreto dispõe sobre a</w:t>
      </w:r>
      <w:r w:rsidRPr="007C602D">
        <w:rPr>
          <w:rFonts w:ascii="Helvetica" w:hAnsi="Helvetica"/>
          <w:iCs/>
          <w:sz w:val="22"/>
          <w:szCs w:val="22"/>
          <w:lang w:eastAsia="pt-BR"/>
        </w:rPr>
        <w:t xml:space="preserve"> Lei n° 17.263, de 30 de abril de 2020, que autoriza a transferência à Conta Única do Tesouro Estadual de saldos positivos de Fundos Especiais de Despesa e de Fundos Especiais de Financiamento e Investimento.</w:t>
      </w:r>
    </w:p>
    <w:p w:rsidR="007C602D" w:rsidRPr="007C602D" w:rsidRDefault="007C602D" w:rsidP="007C602D">
      <w:pPr>
        <w:pStyle w:val="TextosemFormatao"/>
        <w:spacing w:beforeLines="60" w:before="144" w:afterLines="60" w:after="144"/>
        <w:ind w:firstLine="1418"/>
        <w:rPr>
          <w:rFonts w:ascii="Helvetica" w:hAnsi="Helvetica"/>
          <w:sz w:val="22"/>
          <w:szCs w:val="22"/>
          <w:lang w:eastAsia="pt-BR"/>
        </w:rPr>
      </w:pPr>
      <w:r w:rsidRPr="007C602D">
        <w:rPr>
          <w:rFonts w:ascii="Helvetica" w:hAnsi="Helvetica"/>
          <w:bCs/>
          <w:sz w:val="22"/>
          <w:szCs w:val="22"/>
          <w:lang w:eastAsia="pt-BR"/>
        </w:rPr>
        <w:t xml:space="preserve">Artigo 2º – </w:t>
      </w:r>
      <w:r w:rsidRPr="007C602D">
        <w:rPr>
          <w:rFonts w:ascii="Helvetica" w:hAnsi="Helvetica"/>
          <w:sz w:val="22"/>
          <w:szCs w:val="22"/>
          <w:lang w:eastAsia="pt-BR"/>
        </w:rPr>
        <w:t>Serão transferidos à Conta Única do Tesouro Estadual, até 10 de julho de 2020, os saldos do superávit financeiro apurado no balanço de encerramento do exercício financeiro de 2019 dos seguintes fundos:</w:t>
      </w:r>
    </w:p>
    <w:p w:rsidR="007C602D" w:rsidRPr="007C602D" w:rsidRDefault="007C602D" w:rsidP="007C602D">
      <w:pPr>
        <w:pStyle w:val="TextosemFormatao"/>
        <w:spacing w:beforeLines="60" w:before="144" w:afterLines="60" w:after="144"/>
        <w:ind w:firstLine="1418"/>
        <w:rPr>
          <w:rFonts w:ascii="Helvetica" w:hAnsi="Helvetica"/>
          <w:sz w:val="22"/>
          <w:szCs w:val="22"/>
          <w:lang w:eastAsia="pt-BR"/>
        </w:rPr>
      </w:pPr>
      <w:r w:rsidRPr="007C602D">
        <w:rPr>
          <w:rFonts w:ascii="Helvetica" w:hAnsi="Helvetica"/>
          <w:bCs/>
          <w:sz w:val="22"/>
          <w:szCs w:val="22"/>
          <w:lang w:eastAsia="pt-BR"/>
        </w:rPr>
        <w:t>I –</w:t>
      </w:r>
      <w:r w:rsidRPr="007C602D">
        <w:rPr>
          <w:rFonts w:ascii="Helvetica" w:hAnsi="Helvetica"/>
          <w:sz w:val="22"/>
          <w:szCs w:val="22"/>
          <w:lang w:eastAsia="pt-BR"/>
        </w:rPr>
        <w:t xml:space="preserve"> dos Fundos Especiais de Despesa relacionados no Anexo I que integra este decreto; </w:t>
      </w:r>
    </w:p>
    <w:p w:rsidR="007C602D" w:rsidRPr="007C602D" w:rsidRDefault="007C602D" w:rsidP="007C602D">
      <w:pPr>
        <w:pStyle w:val="TextosemFormatao"/>
        <w:spacing w:beforeLines="60" w:before="144" w:afterLines="60" w:after="144"/>
        <w:ind w:firstLine="1418"/>
        <w:rPr>
          <w:rFonts w:ascii="Helvetica" w:hAnsi="Helvetica"/>
          <w:sz w:val="22"/>
          <w:szCs w:val="22"/>
          <w:lang w:eastAsia="pt-BR"/>
        </w:rPr>
      </w:pPr>
      <w:r w:rsidRPr="007C602D">
        <w:rPr>
          <w:rFonts w:ascii="Helvetica" w:hAnsi="Helvetica"/>
          <w:bCs/>
          <w:sz w:val="22"/>
          <w:szCs w:val="22"/>
          <w:lang w:eastAsia="pt-BR"/>
        </w:rPr>
        <w:t>II –</w:t>
      </w:r>
      <w:r w:rsidRPr="007C602D">
        <w:rPr>
          <w:rFonts w:ascii="Helvetica" w:hAnsi="Helvetica"/>
          <w:sz w:val="22"/>
          <w:szCs w:val="22"/>
          <w:lang w:eastAsia="pt-BR"/>
        </w:rPr>
        <w:t xml:space="preserve"> dos Fundos Especiais de Financiamento e Investimento relacionados no Anexo II que integra este decreto.</w:t>
      </w:r>
    </w:p>
    <w:p w:rsidR="007C602D" w:rsidRPr="007C602D" w:rsidRDefault="007C602D" w:rsidP="007C602D">
      <w:pPr>
        <w:pStyle w:val="TextosemFormatao"/>
        <w:spacing w:beforeLines="60" w:before="144" w:afterLines="60" w:after="144"/>
        <w:ind w:firstLine="1418"/>
        <w:rPr>
          <w:rFonts w:ascii="Helvetica" w:hAnsi="Helvetica"/>
          <w:sz w:val="22"/>
          <w:szCs w:val="22"/>
          <w:lang w:eastAsia="pt-BR"/>
        </w:rPr>
      </w:pPr>
      <w:r w:rsidRPr="007C602D">
        <w:rPr>
          <w:rFonts w:ascii="Helvetica" w:hAnsi="Helvetica"/>
          <w:bCs/>
          <w:sz w:val="22"/>
          <w:szCs w:val="22"/>
          <w:lang w:eastAsia="pt-BR"/>
        </w:rPr>
        <w:t>Parágrafo único</w:t>
      </w:r>
      <w:r w:rsidRPr="007C602D">
        <w:rPr>
          <w:rFonts w:ascii="Helvetica" w:hAnsi="Helvetica"/>
          <w:sz w:val="22"/>
          <w:szCs w:val="22"/>
          <w:lang w:eastAsia="pt-BR"/>
        </w:rPr>
        <w:t xml:space="preserve"> </w:t>
      </w:r>
      <w:r w:rsidRPr="007C602D">
        <w:rPr>
          <w:rFonts w:ascii="Helvetica" w:hAnsi="Helvetica"/>
          <w:bCs/>
          <w:sz w:val="22"/>
          <w:szCs w:val="22"/>
          <w:lang w:eastAsia="pt-BR"/>
        </w:rPr>
        <w:t>–</w:t>
      </w:r>
      <w:r w:rsidRPr="007C602D">
        <w:rPr>
          <w:rFonts w:ascii="Helvetica" w:hAnsi="Helvetica"/>
          <w:sz w:val="22"/>
          <w:szCs w:val="22"/>
          <w:lang w:eastAsia="pt-BR"/>
        </w:rPr>
        <w:t xml:space="preserve"> Os gestores dos Fundos Especiais de Financiamento e Investimento deverão enviar à Secretaria da Fazenda e Planejamento, até 9 de julho de 2020, demonstrativo com os compromissos financeiros em 2020, decorrentes de projetos já aprovados e operações em curso que têm como única fonte de recursos o superávit financeiro de 2019, cuja soma não será objeto da transferência de que trata o “caput” deste artigo.</w:t>
      </w:r>
    </w:p>
    <w:p w:rsidR="007C602D" w:rsidRPr="007C602D" w:rsidRDefault="007C602D" w:rsidP="007C602D">
      <w:pPr>
        <w:pStyle w:val="TextosemFormatao"/>
        <w:spacing w:beforeLines="60" w:before="144" w:afterLines="60" w:after="144"/>
        <w:ind w:firstLine="1418"/>
        <w:rPr>
          <w:rFonts w:ascii="Helvetica" w:hAnsi="Helvetica"/>
          <w:sz w:val="22"/>
          <w:szCs w:val="22"/>
          <w:lang w:eastAsia="pt-BR"/>
        </w:rPr>
      </w:pPr>
      <w:r w:rsidRPr="007C602D">
        <w:rPr>
          <w:rFonts w:ascii="Helvetica" w:hAnsi="Helvetica"/>
          <w:bCs/>
          <w:sz w:val="22"/>
          <w:szCs w:val="22"/>
          <w:lang w:eastAsia="pt-BR"/>
        </w:rPr>
        <w:t>Artigo 3º</w:t>
      </w:r>
      <w:r w:rsidRPr="007C602D">
        <w:rPr>
          <w:rFonts w:ascii="Helvetica" w:hAnsi="Helvetica"/>
          <w:sz w:val="22"/>
          <w:szCs w:val="22"/>
          <w:lang w:eastAsia="pt-BR"/>
        </w:rPr>
        <w:t xml:space="preserve"> – Nos termos do artigo 2° da Lei n° 17.263, de 30 de abril de 2020, os valores arrecadados e passíveis de transferência com fundamento neste decreto serão depositados na Conta Única do Tesouro Estadual, escriturados em conta especial, devendo os gestores dos Fundos Especiais de Despesa e dos Fundos Especiais de Investimento e Financiamento comprovar junto à Controladoria da Secretaria da Fazenda e Planejamento, no prazo subsequente de 30 (trinta) dias, a efetiva necessidade de restituição.</w:t>
      </w:r>
    </w:p>
    <w:p w:rsidR="007C602D" w:rsidRPr="007C602D" w:rsidRDefault="007C602D" w:rsidP="007C602D">
      <w:pPr>
        <w:pStyle w:val="TextosemFormatao"/>
        <w:spacing w:beforeLines="60" w:before="144" w:afterLines="60" w:after="144"/>
        <w:ind w:firstLine="1418"/>
        <w:rPr>
          <w:rFonts w:ascii="Helvetica" w:hAnsi="Helvetica"/>
          <w:sz w:val="22"/>
          <w:szCs w:val="22"/>
          <w:lang w:eastAsia="pt-BR"/>
        </w:rPr>
      </w:pPr>
      <w:r w:rsidRPr="007C602D">
        <w:rPr>
          <w:rFonts w:ascii="Helvetica" w:hAnsi="Helvetica"/>
          <w:bCs/>
          <w:sz w:val="22"/>
          <w:szCs w:val="22"/>
          <w:lang w:eastAsia="pt-BR"/>
        </w:rPr>
        <w:t>Parágrafo único</w:t>
      </w:r>
      <w:r w:rsidRPr="007C602D">
        <w:rPr>
          <w:rFonts w:ascii="Helvetica" w:hAnsi="Helvetica"/>
          <w:sz w:val="22"/>
          <w:szCs w:val="22"/>
          <w:lang w:eastAsia="pt-BR"/>
        </w:rPr>
        <w:t xml:space="preserve"> – A Controladoria da Secretaria da Fazenda e Planejamento, após a avaliação dos pedidos e dos valores transferidos à Conta Única do Tesouro Estadual, indicará à Subsecretaria de Planeja</w:t>
      </w:r>
      <w:r w:rsidRPr="007C602D">
        <w:rPr>
          <w:rFonts w:ascii="Helvetica" w:hAnsi="Helvetica"/>
          <w:sz w:val="22"/>
          <w:szCs w:val="22"/>
          <w:lang w:eastAsia="pt-BR"/>
        </w:rPr>
        <w:softHyphen/>
        <w:t>mento, Orçamento e Finanças, quando for o caso, o valor a ser restituído ao respectivo Fundo.</w:t>
      </w:r>
    </w:p>
    <w:p w:rsidR="007C602D" w:rsidRPr="007C602D" w:rsidRDefault="007C602D" w:rsidP="007C602D">
      <w:pPr>
        <w:pStyle w:val="TextosemFormatao"/>
        <w:spacing w:beforeLines="60" w:before="144" w:afterLines="60" w:after="144"/>
        <w:ind w:firstLine="1418"/>
        <w:rPr>
          <w:rFonts w:ascii="Helvetica" w:hAnsi="Helvetica"/>
          <w:sz w:val="22"/>
          <w:szCs w:val="22"/>
          <w:lang w:eastAsia="pt-BR"/>
        </w:rPr>
      </w:pPr>
      <w:r w:rsidRPr="007C602D">
        <w:rPr>
          <w:rFonts w:ascii="Helvetica" w:hAnsi="Helvetica"/>
          <w:bCs/>
          <w:sz w:val="22"/>
          <w:szCs w:val="22"/>
          <w:lang w:eastAsia="pt-BR"/>
        </w:rPr>
        <w:t xml:space="preserve">Artigo 4º – </w:t>
      </w:r>
      <w:r w:rsidRPr="007C602D">
        <w:rPr>
          <w:rFonts w:ascii="Helvetica" w:hAnsi="Helvetica"/>
          <w:sz w:val="22"/>
          <w:szCs w:val="22"/>
          <w:lang w:eastAsia="pt-BR"/>
        </w:rPr>
        <w:t xml:space="preserve">Os recursos transferidos à Conta Única do Tesouro Estadual serão aplicados, prioritariamente, nas áreas da saúde, do desenvolvimento econômico e para a implementação de políticas sociais, visando ao enfrentamento da pandemia da COVID-19, nos termos detalhados no artigo 4º da Lei nº 17.263, de 30 de abril de 2020. </w:t>
      </w:r>
    </w:p>
    <w:p w:rsidR="007C602D" w:rsidRPr="007C602D" w:rsidRDefault="007C602D" w:rsidP="007C602D">
      <w:pPr>
        <w:pStyle w:val="TextosemFormatao"/>
        <w:spacing w:beforeLines="60" w:before="144" w:afterLines="60" w:after="144"/>
        <w:ind w:firstLine="1418"/>
        <w:rPr>
          <w:rFonts w:ascii="Helvetica" w:hAnsi="Helvetica"/>
          <w:sz w:val="22"/>
          <w:szCs w:val="22"/>
          <w:lang w:eastAsia="pt-BR"/>
        </w:rPr>
      </w:pPr>
      <w:r w:rsidRPr="007C602D">
        <w:rPr>
          <w:rFonts w:ascii="Helvetica" w:hAnsi="Helvetica"/>
          <w:bCs/>
          <w:sz w:val="22"/>
          <w:szCs w:val="22"/>
          <w:lang w:eastAsia="pt-BR"/>
        </w:rPr>
        <w:t>Artigo 5º –</w:t>
      </w:r>
      <w:r w:rsidRPr="007C602D">
        <w:rPr>
          <w:rFonts w:ascii="Helvetica" w:hAnsi="Helvetica"/>
          <w:sz w:val="22"/>
          <w:szCs w:val="22"/>
          <w:lang w:eastAsia="pt-BR"/>
        </w:rPr>
        <w:t xml:space="preserve"> A Secretaria da Fazenda e Planejamento e a Secretaria de Projetos, Orçamento e Gestão adotarão as providências para a cobertura das despesas constantes da Lei Orçamentária Anual, bem como os procedimentos orçamentários, financeiros e contábeis necessários ao cumprimento do disposto neste decreto.</w:t>
      </w:r>
    </w:p>
    <w:p w:rsidR="007C602D" w:rsidRPr="007C602D" w:rsidRDefault="007C602D" w:rsidP="007C602D">
      <w:pPr>
        <w:pStyle w:val="TextosemFormatao"/>
        <w:spacing w:beforeLines="60" w:before="144" w:afterLines="60" w:after="144"/>
        <w:ind w:firstLine="1418"/>
        <w:rPr>
          <w:rFonts w:ascii="Helvetica" w:hAnsi="Helvetica"/>
          <w:sz w:val="22"/>
          <w:szCs w:val="22"/>
          <w:lang w:eastAsia="pt-BR"/>
        </w:rPr>
      </w:pPr>
      <w:r w:rsidRPr="007C602D">
        <w:rPr>
          <w:rFonts w:ascii="Helvetica" w:hAnsi="Helvetica"/>
          <w:bCs/>
          <w:sz w:val="22"/>
          <w:szCs w:val="22"/>
          <w:lang w:eastAsia="pt-BR"/>
        </w:rPr>
        <w:t xml:space="preserve">Artigo 6º – </w:t>
      </w:r>
      <w:r w:rsidRPr="007C602D">
        <w:rPr>
          <w:rFonts w:ascii="Helvetica" w:hAnsi="Helvetica"/>
          <w:sz w:val="22"/>
          <w:szCs w:val="22"/>
          <w:lang w:eastAsia="pt-BR"/>
        </w:rPr>
        <w:t>A Secretaria da Fazenda e Planejamento poderá editar normas complementares a este decreto.</w:t>
      </w:r>
    </w:p>
    <w:p w:rsidR="007C602D" w:rsidRPr="007C602D" w:rsidRDefault="007C602D" w:rsidP="007C602D">
      <w:pPr>
        <w:pStyle w:val="TextosemFormatao"/>
        <w:spacing w:beforeLines="60" w:before="144" w:afterLines="60" w:after="144"/>
        <w:ind w:firstLine="1418"/>
        <w:rPr>
          <w:rFonts w:ascii="Helvetica" w:hAnsi="Helvetica"/>
          <w:sz w:val="22"/>
          <w:szCs w:val="22"/>
          <w:lang w:eastAsia="pt-BR"/>
        </w:rPr>
      </w:pPr>
      <w:r w:rsidRPr="007C602D">
        <w:rPr>
          <w:rFonts w:ascii="Helvetica" w:hAnsi="Helvetica"/>
          <w:bCs/>
          <w:sz w:val="22"/>
          <w:szCs w:val="22"/>
          <w:lang w:eastAsia="pt-BR"/>
        </w:rPr>
        <w:t>Artigo 7° –</w:t>
      </w:r>
      <w:r w:rsidRPr="007C602D">
        <w:rPr>
          <w:rFonts w:ascii="Helvetica" w:hAnsi="Helvetica"/>
          <w:sz w:val="22"/>
          <w:szCs w:val="22"/>
          <w:lang w:eastAsia="pt-BR"/>
        </w:rPr>
        <w:t xml:space="preserve"> Este decreto entra em vigor na data de sua publicação. </w:t>
      </w:r>
    </w:p>
    <w:p w:rsidR="007C602D" w:rsidRPr="007C602D" w:rsidRDefault="007C602D" w:rsidP="007C602D">
      <w:pPr>
        <w:spacing w:beforeLines="60" w:before="144" w:afterLines="60" w:after="144"/>
        <w:ind w:firstLine="1418"/>
        <w:rPr>
          <w:rFonts w:ascii="Helvetica" w:hAnsi="Helvetica" w:cs="Courier New"/>
          <w:sz w:val="22"/>
        </w:rPr>
      </w:pPr>
      <w:r w:rsidRPr="007C602D">
        <w:rPr>
          <w:rFonts w:ascii="Helvetica" w:hAnsi="Helvetica" w:cs="Courier New"/>
          <w:sz w:val="22"/>
        </w:rPr>
        <w:t>Palácio dos Bandeirantes, 7 de julho de 2020</w:t>
      </w:r>
    </w:p>
    <w:p w:rsidR="007C602D" w:rsidRPr="007C602D" w:rsidRDefault="007C602D" w:rsidP="007C602D">
      <w:pPr>
        <w:spacing w:beforeLines="60" w:before="144" w:afterLines="60" w:after="144"/>
        <w:ind w:firstLine="1418"/>
        <w:rPr>
          <w:rFonts w:ascii="Helvetica" w:hAnsi="Helvetica" w:cs="Courier New"/>
          <w:sz w:val="22"/>
        </w:rPr>
      </w:pPr>
      <w:r w:rsidRPr="007C602D">
        <w:rPr>
          <w:rFonts w:ascii="Helvetica" w:hAnsi="Helvetica" w:cs="Courier New"/>
          <w:sz w:val="22"/>
        </w:rPr>
        <w:lastRenderedPageBreak/>
        <w:t>JOÃO DORIA</w:t>
      </w:r>
    </w:p>
    <w:p w:rsidR="007C602D" w:rsidRPr="007C602D" w:rsidRDefault="007C602D" w:rsidP="007C602D">
      <w:pPr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</w:rPr>
      </w:pPr>
      <w:r w:rsidRPr="007C602D">
        <w:rPr>
          <w:rFonts w:ascii="Helvetica" w:hAnsi="Helvetica" w:cs="Courier New"/>
          <w:sz w:val="22"/>
        </w:rPr>
        <w:t>ANEXO I</w:t>
      </w:r>
    </w:p>
    <w:p w:rsidR="007C602D" w:rsidRPr="007C602D" w:rsidRDefault="007C602D" w:rsidP="007C602D">
      <w:pPr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</w:rPr>
      </w:pPr>
      <w:proofErr w:type="gramStart"/>
      <w:r w:rsidRPr="007C602D">
        <w:rPr>
          <w:rFonts w:ascii="Helvetica" w:hAnsi="Helvetica" w:cs="Courier New"/>
          <w:sz w:val="22"/>
        </w:rPr>
        <w:t>a</w:t>
      </w:r>
      <w:proofErr w:type="gramEnd"/>
      <w:r w:rsidRPr="007C602D">
        <w:rPr>
          <w:rFonts w:ascii="Helvetica" w:hAnsi="Helvetica" w:cs="Courier New"/>
          <w:sz w:val="22"/>
        </w:rPr>
        <w:t xml:space="preserve"> que se refere o inciso I do artigo 1</w:t>
      </w:r>
      <w:r w:rsidRPr="007C602D">
        <w:rPr>
          <w:rFonts w:ascii="Calibri" w:hAnsi="Calibri" w:cs="Calibri"/>
          <w:sz w:val="22"/>
        </w:rPr>
        <w:t>º</w:t>
      </w:r>
      <w:r w:rsidRPr="007C602D">
        <w:rPr>
          <w:rFonts w:ascii="Helvetica" w:hAnsi="Helvetica" w:cs="Courier New"/>
          <w:sz w:val="22"/>
        </w:rPr>
        <w:t xml:space="preserve"> do</w:t>
      </w:r>
    </w:p>
    <w:p w:rsidR="007C602D" w:rsidRPr="007C602D" w:rsidRDefault="007C602D" w:rsidP="007C602D">
      <w:pPr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</w:rPr>
      </w:pPr>
      <w:r w:rsidRPr="007C602D">
        <w:rPr>
          <w:rFonts w:ascii="Helvetica" w:hAnsi="Helvetica" w:cs="Courier New"/>
          <w:sz w:val="22"/>
        </w:rPr>
        <w:t>Decreto n</w:t>
      </w:r>
      <w:r w:rsidRPr="007C602D">
        <w:rPr>
          <w:rFonts w:ascii="Calibri" w:hAnsi="Calibri" w:cs="Calibri"/>
          <w:sz w:val="22"/>
        </w:rPr>
        <w:t>º</w:t>
      </w:r>
      <w:r w:rsidRPr="007C602D">
        <w:rPr>
          <w:rFonts w:ascii="Helvetica" w:hAnsi="Helvetica" w:cs="Courier New"/>
          <w:sz w:val="22"/>
        </w:rPr>
        <w:t xml:space="preserve"> 65.051, de 7 de julho de 2020</w:t>
      </w:r>
    </w:p>
    <w:p w:rsidR="007C602D" w:rsidRPr="007C602D" w:rsidRDefault="007C602D" w:rsidP="007C602D">
      <w:pPr>
        <w:spacing w:beforeLines="60" w:before="144" w:afterLines="60" w:after="144"/>
        <w:ind w:firstLine="1418"/>
        <w:rPr>
          <w:rFonts w:ascii="Helvetica" w:hAnsi="Helvetica"/>
          <w:b/>
          <w:bCs/>
          <w:sz w:val="22"/>
        </w:rPr>
      </w:pPr>
    </w:p>
    <w:p w:rsidR="007C602D" w:rsidRPr="007C602D" w:rsidRDefault="007C602D" w:rsidP="007C602D">
      <w:pPr>
        <w:spacing w:beforeLines="60" w:before="144" w:afterLines="60" w:after="144"/>
        <w:ind w:firstLine="1418"/>
        <w:rPr>
          <w:rFonts w:ascii="Helvetica" w:hAnsi="Helvetica"/>
          <w:b/>
          <w:bCs/>
          <w:sz w:val="22"/>
        </w:rPr>
      </w:pPr>
      <w:r w:rsidRPr="007C602D">
        <w:rPr>
          <w:rFonts w:ascii="Helvetica" w:hAnsi="Helvetica"/>
          <w:noProof/>
          <w:spacing w:val="10"/>
          <w:sz w:val="22"/>
          <w:lang w:eastAsia="pt-BR"/>
        </w:rPr>
        <w:drawing>
          <wp:inline distT="0" distB="0" distL="0" distR="0">
            <wp:extent cx="4933950" cy="58483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02D" w:rsidRPr="007C602D" w:rsidRDefault="007C602D" w:rsidP="007C602D">
      <w:pPr>
        <w:spacing w:beforeLines="60" w:before="144" w:afterLines="60" w:after="144"/>
        <w:ind w:firstLine="1418"/>
        <w:rPr>
          <w:rFonts w:ascii="Helvetica" w:hAnsi="Helvetica"/>
          <w:b/>
          <w:bCs/>
          <w:sz w:val="22"/>
        </w:rPr>
      </w:pPr>
    </w:p>
    <w:p w:rsidR="007C602D" w:rsidRPr="007C602D" w:rsidRDefault="007C602D" w:rsidP="007C602D">
      <w:pPr>
        <w:spacing w:beforeLines="60" w:before="144" w:afterLines="60" w:after="144"/>
        <w:ind w:left="426" w:right="424"/>
        <w:rPr>
          <w:rFonts w:ascii="Helvetica" w:hAnsi="Helvetica" w:cs="Courier New"/>
          <w:sz w:val="22"/>
          <w:lang w:eastAsia="pt-BR"/>
        </w:rPr>
      </w:pPr>
      <w:r w:rsidRPr="007C602D">
        <w:rPr>
          <w:rFonts w:ascii="Helvetica" w:hAnsi="Helvetica" w:cs="Courier New"/>
          <w:sz w:val="22"/>
          <w:shd w:val="clear" w:color="auto" w:fill="FFFFFF"/>
        </w:rPr>
        <w:t>Nota: N</w:t>
      </w:r>
      <w:r w:rsidRPr="007C602D">
        <w:rPr>
          <w:rFonts w:ascii="Calibri" w:hAnsi="Calibri" w:cs="Calibri"/>
          <w:sz w:val="22"/>
          <w:shd w:val="clear" w:color="auto" w:fill="FFFFFF"/>
        </w:rPr>
        <w:t>ã</w:t>
      </w:r>
      <w:r w:rsidRPr="007C602D">
        <w:rPr>
          <w:rFonts w:ascii="Helvetica" w:hAnsi="Helvetica" w:cs="Courier New"/>
          <w:sz w:val="22"/>
          <w:shd w:val="clear" w:color="auto" w:fill="FFFFFF"/>
        </w:rPr>
        <w:t>o foram consideradas receitas sujeitas a destina</w:t>
      </w:r>
      <w:r w:rsidRPr="007C602D">
        <w:rPr>
          <w:rFonts w:ascii="Calibri" w:hAnsi="Calibri" w:cs="Calibri"/>
          <w:sz w:val="22"/>
          <w:shd w:val="clear" w:color="auto" w:fill="FFFFFF"/>
        </w:rPr>
        <w:t>çã</w:t>
      </w:r>
      <w:r w:rsidRPr="007C602D">
        <w:rPr>
          <w:rFonts w:ascii="Helvetica" w:hAnsi="Helvetica" w:cs="Courier New"/>
          <w:sz w:val="22"/>
          <w:shd w:val="clear" w:color="auto" w:fill="FFFFFF"/>
        </w:rPr>
        <w:t>o espec</w:t>
      </w:r>
      <w:r w:rsidRPr="007C602D">
        <w:rPr>
          <w:rFonts w:ascii="Calibri" w:hAnsi="Calibri" w:cs="Calibri"/>
          <w:sz w:val="22"/>
          <w:shd w:val="clear" w:color="auto" w:fill="FFFFFF"/>
        </w:rPr>
        <w:t>í</w:t>
      </w:r>
      <w:r w:rsidRPr="007C602D">
        <w:rPr>
          <w:rFonts w:ascii="Helvetica" w:hAnsi="Helvetica" w:cs="Courier New"/>
          <w:sz w:val="22"/>
          <w:shd w:val="clear" w:color="auto" w:fill="FFFFFF"/>
        </w:rPr>
        <w:t>fica estabelecidas constitucionalmente ou na legisla</w:t>
      </w:r>
      <w:r w:rsidRPr="007C602D">
        <w:rPr>
          <w:rFonts w:ascii="Calibri" w:hAnsi="Calibri" w:cs="Calibri"/>
          <w:sz w:val="22"/>
          <w:shd w:val="clear" w:color="auto" w:fill="FFFFFF"/>
        </w:rPr>
        <w:t>çã</w:t>
      </w:r>
      <w:r w:rsidRPr="007C602D">
        <w:rPr>
          <w:rFonts w:ascii="Helvetica" w:hAnsi="Helvetica" w:cs="Courier New"/>
          <w:sz w:val="22"/>
          <w:shd w:val="clear" w:color="auto" w:fill="FFFFFF"/>
        </w:rPr>
        <w:t>o federal, bem como recursos oriundos de taxas, doa</w:t>
      </w:r>
      <w:r w:rsidRPr="007C602D">
        <w:rPr>
          <w:rFonts w:ascii="Calibri" w:hAnsi="Calibri" w:cs="Calibri"/>
          <w:sz w:val="22"/>
          <w:shd w:val="clear" w:color="auto" w:fill="FFFFFF"/>
        </w:rPr>
        <w:t>çõ</w:t>
      </w:r>
      <w:r w:rsidRPr="007C602D">
        <w:rPr>
          <w:rFonts w:ascii="Helvetica" w:hAnsi="Helvetica" w:cs="Courier New"/>
          <w:sz w:val="22"/>
          <w:shd w:val="clear" w:color="auto" w:fill="FFFFFF"/>
        </w:rPr>
        <w:t>es, restitui</w:t>
      </w:r>
      <w:r w:rsidRPr="007C602D">
        <w:rPr>
          <w:rFonts w:ascii="Calibri" w:hAnsi="Calibri" w:cs="Calibri"/>
          <w:sz w:val="22"/>
          <w:shd w:val="clear" w:color="auto" w:fill="FFFFFF"/>
        </w:rPr>
        <w:t>çõ</w:t>
      </w:r>
      <w:r w:rsidRPr="007C602D">
        <w:rPr>
          <w:rFonts w:ascii="Helvetica" w:hAnsi="Helvetica" w:cs="Courier New"/>
          <w:sz w:val="22"/>
          <w:shd w:val="clear" w:color="auto" w:fill="FFFFFF"/>
        </w:rPr>
        <w:t>es e ressarcimentos, de titularidade de outros poderes ou entes federados.</w:t>
      </w:r>
    </w:p>
    <w:p w:rsidR="007C602D" w:rsidRPr="007C602D" w:rsidRDefault="007C602D" w:rsidP="007C602D">
      <w:pPr>
        <w:spacing w:beforeLines="60" w:before="144" w:afterLines="60" w:after="144"/>
        <w:ind w:firstLine="1418"/>
        <w:rPr>
          <w:rFonts w:ascii="Helvetica" w:hAnsi="Helvetica" w:cs="Courier New"/>
          <w:sz w:val="22"/>
          <w:lang w:eastAsia="pt-BR"/>
        </w:rPr>
      </w:pPr>
    </w:p>
    <w:p w:rsidR="007C602D" w:rsidRPr="007C602D" w:rsidRDefault="007C602D" w:rsidP="007C602D">
      <w:pPr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lang w:eastAsia="pt-BR"/>
        </w:rPr>
      </w:pPr>
      <w:r w:rsidRPr="007C602D">
        <w:rPr>
          <w:rFonts w:ascii="Helvetica" w:hAnsi="Helvetica" w:cs="Courier New"/>
          <w:sz w:val="22"/>
          <w:lang w:eastAsia="pt-BR"/>
        </w:rPr>
        <w:lastRenderedPageBreak/>
        <w:t>ANEXO II</w:t>
      </w:r>
    </w:p>
    <w:p w:rsidR="007C602D" w:rsidRPr="007C602D" w:rsidRDefault="007C602D" w:rsidP="007C602D">
      <w:pPr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</w:rPr>
      </w:pPr>
      <w:proofErr w:type="gramStart"/>
      <w:r w:rsidRPr="007C602D">
        <w:rPr>
          <w:rFonts w:ascii="Helvetica" w:hAnsi="Helvetica" w:cs="Courier New"/>
          <w:sz w:val="22"/>
        </w:rPr>
        <w:t>a</w:t>
      </w:r>
      <w:proofErr w:type="gramEnd"/>
      <w:r w:rsidRPr="007C602D">
        <w:rPr>
          <w:rFonts w:ascii="Helvetica" w:hAnsi="Helvetica" w:cs="Courier New"/>
          <w:sz w:val="22"/>
        </w:rPr>
        <w:t xml:space="preserve"> que se refere o inciso II do artigo 1</w:t>
      </w:r>
      <w:r w:rsidRPr="007C602D">
        <w:rPr>
          <w:rFonts w:ascii="Calibri" w:hAnsi="Calibri" w:cs="Calibri"/>
          <w:sz w:val="22"/>
        </w:rPr>
        <w:t>º</w:t>
      </w:r>
      <w:r w:rsidRPr="007C602D">
        <w:rPr>
          <w:rFonts w:ascii="Helvetica" w:hAnsi="Helvetica" w:cs="Courier New"/>
          <w:sz w:val="22"/>
        </w:rPr>
        <w:t xml:space="preserve"> do</w:t>
      </w:r>
    </w:p>
    <w:p w:rsidR="007C602D" w:rsidRPr="007C602D" w:rsidRDefault="007C602D" w:rsidP="007C602D">
      <w:pPr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lang w:eastAsia="pt-BR"/>
        </w:rPr>
      </w:pPr>
      <w:r w:rsidRPr="007C602D">
        <w:rPr>
          <w:rFonts w:ascii="Helvetica" w:hAnsi="Helvetica" w:cs="Courier New"/>
          <w:sz w:val="22"/>
        </w:rPr>
        <w:t>Decreto n</w:t>
      </w:r>
      <w:r w:rsidRPr="007C602D">
        <w:rPr>
          <w:rFonts w:ascii="Calibri" w:hAnsi="Calibri" w:cs="Calibri"/>
          <w:sz w:val="22"/>
        </w:rPr>
        <w:t>º</w:t>
      </w:r>
      <w:r w:rsidRPr="007C602D">
        <w:rPr>
          <w:rFonts w:ascii="Helvetica" w:hAnsi="Helvetica" w:cs="Courier New"/>
          <w:sz w:val="22"/>
        </w:rPr>
        <w:t xml:space="preserve"> 65.051, de 7 de julho de 2020</w:t>
      </w:r>
    </w:p>
    <w:p w:rsidR="007C602D" w:rsidRPr="007C602D" w:rsidRDefault="007C602D" w:rsidP="007C602D">
      <w:pPr>
        <w:spacing w:beforeLines="60" w:before="144" w:afterLines="60" w:after="144"/>
        <w:ind w:firstLine="1418"/>
        <w:rPr>
          <w:rFonts w:ascii="Helvetica" w:hAnsi="Helvetica" w:cs="Courier New"/>
          <w:bCs/>
          <w:sz w:val="22"/>
        </w:rPr>
      </w:pPr>
    </w:p>
    <w:p w:rsidR="007C602D" w:rsidRPr="007C602D" w:rsidRDefault="007C602D" w:rsidP="007C602D">
      <w:pPr>
        <w:spacing w:beforeLines="60" w:before="144" w:afterLines="60" w:after="144"/>
        <w:ind w:firstLine="1418"/>
        <w:rPr>
          <w:rFonts w:ascii="Helvetica" w:hAnsi="Helvetica"/>
          <w:b/>
          <w:bCs/>
          <w:sz w:val="22"/>
        </w:rPr>
      </w:pPr>
    </w:p>
    <w:p w:rsidR="007C602D" w:rsidRPr="007C602D" w:rsidRDefault="007C602D" w:rsidP="007C602D">
      <w:pPr>
        <w:spacing w:beforeLines="60" w:before="144" w:afterLines="60" w:after="144"/>
        <w:ind w:firstLine="1418"/>
        <w:rPr>
          <w:rFonts w:ascii="Helvetica" w:hAnsi="Helvetica"/>
          <w:b/>
          <w:bCs/>
          <w:sz w:val="22"/>
        </w:rPr>
      </w:pPr>
      <w:r w:rsidRPr="007C602D">
        <w:rPr>
          <w:rFonts w:ascii="Helvetica" w:hAnsi="Helvetica"/>
          <w:noProof/>
          <w:spacing w:val="10"/>
          <w:sz w:val="22"/>
          <w:lang w:eastAsia="pt-BR"/>
        </w:rPr>
        <w:drawing>
          <wp:inline distT="0" distB="0" distL="0" distR="0">
            <wp:extent cx="5353050" cy="2400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48" w:rsidRPr="007C602D" w:rsidRDefault="00AB2148" w:rsidP="00CD543D">
      <w:pPr>
        <w:spacing w:beforeLines="60" w:before="144" w:afterLines="60" w:after="144"/>
        <w:rPr>
          <w:rFonts w:ascii="Helvetica" w:hAnsi="Helvetica"/>
          <w:sz w:val="22"/>
        </w:rPr>
      </w:pPr>
      <w:bookmarkStart w:id="0" w:name="_GoBack"/>
      <w:bookmarkEnd w:id="0"/>
    </w:p>
    <w:sectPr w:rsidR="00AB2148" w:rsidRPr="007C602D" w:rsidSect="007C602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2D"/>
    <w:rsid w:val="007C602D"/>
    <w:rsid w:val="00AB2148"/>
    <w:rsid w:val="00CD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7EFF4-9353-4DCC-A35B-99A10932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02D"/>
    <w:pPr>
      <w:spacing w:after="0" w:line="240" w:lineRule="auto"/>
      <w:jc w:val="both"/>
    </w:pPr>
    <w:rPr>
      <w:rFonts w:ascii="Courier New" w:eastAsia="Times New Roman" w:hAnsi="Courier New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C602D"/>
    <w:rPr>
      <w:rFonts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C602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2020-07-08T13:53:00Z</dcterms:created>
  <dcterms:modified xsi:type="dcterms:W3CDTF">2020-07-08T14:03:00Z</dcterms:modified>
</cp:coreProperties>
</file>