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AA09" w14:textId="77777777" w:rsidR="00E36A7D" w:rsidRPr="00E36A7D" w:rsidRDefault="00E36A7D" w:rsidP="00E36A7D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36A7D">
        <w:rPr>
          <w:rFonts w:ascii="Helvetica" w:hAnsi="Helvetica" w:cs="Helvetica"/>
          <w:b/>
          <w:bCs/>
          <w:sz w:val="22"/>
          <w:szCs w:val="22"/>
        </w:rPr>
        <w:t xml:space="preserve">DECRETO Nº </w:t>
      </w:r>
      <w:bookmarkStart w:id="0" w:name="_Hlk85440265"/>
      <w:r w:rsidRPr="00E36A7D">
        <w:rPr>
          <w:rFonts w:ascii="Helvetica" w:hAnsi="Helvetica" w:cs="Helvetica"/>
          <w:b/>
          <w:bCs/>
          <w:sz w:val="22"/>
          <w:szCs w:val="22"/>
        </w:rPr>
        <w:t>66.134</w:t>
      </w:r>
      <w:bookmarkEnd w:id="0"/>
      <w:r w:rsidRPr="00E36A7D">
        <w:rPr>
          <w:rFonts w:ascii="Helvetica" w:hAnsi="Helvetica" w:cs="Helvetica"/>
          <w:b/>
          <w:bCs/>
          <w:sz w:val="22"/>
          <w:szCs w:val="22"/>
        </w:rPr>
        <w:t>, DE 15 DE OUTUBRO DE 2021</w:t>
      </w:r>
    </w:p>
    <w:p w14:paraId="5F0C118B" w14:textId="77777777" w:rsidR="00E36A7D" w:rsidRDefault="00E36A7D" w:rsidP="00E36A7D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106705D2" w14:textId="2C269417" w:rsidR="00E36A7D" w:rsidRPr="00E36A7D" w:rsidRDefault="00E36A7D" w:rsidP="00E36A7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Altera o Decreto nº 65.812, de 23 de junho de 2021, que regulamenta o Programa Bolsa do Povo, criado pela Lei nº 17.372, de 26 de maio de 2021, e dá providências correlatas</w:t>
      </w:r>
    </w:p>
    <w:p w14:paraId="34515461" w14:textId="77777777" w:rsidR="00E36A7D" w:rsidRDefault="00E36A7D" w:rsidP="00E36A7D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5B570827" w14:textId="4E3ACB75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 xml:space="preserve">JOÃO DORIA, GOVERNADOR DO ESTADO DE SÃO PAULO, no uso de suas atribuições legais, com fundamento nos artigos 1º, § 2º, e 2º da Lei nº 17.372, de 26 de maio de 2021, </w:t>
      </w:r>
    </w:p>
    <w:p w14:paraId="34E0A938" w14:textId="77777777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Decreta:</w:t>
      </w:r>
    </w:p>
    <w:p w14:paraId="29C89626" w14:textId="4F6F3F46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Artigo 1º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E36A7D">
        <w:rPr>
          <w:rFonts w:ascii="Helvetica" w:hAnsi="Helvetica" w:cs="Helvetica"/>
          <w:sz w:val="22"/>
          <w:szCs w:val="22"/>
        </w:rPr>
        <w:t>Ficam acrescentados ao Decreto nº 65.812, de 23 de junho de 2021:</w:t>
      </w:r>
    </w:p>
    <w:p w14:paraId="0F34EA41" w14:textId="6B3D3064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I -</w:t>
      </w:r>
      <w:r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E36A7D">
        <w:rPr>
          <w:rFonts w:ascii="Helvetica" w:hAnsi="Helvetica" w:cs="Helvetica"/>
          <w:sz w:val="22"/>
          <w:szCs w:val="22"/>
        </w:rPr>
        <w:t>ao</w:t>
      </w:r>
      <w:proofErr w:type="gramEnd"/>
      <w:r w:rsidRPr="00E36A7D">
        <w:rPr>
          <w:rFonts w:ascii="Helvetica" w:hAnsi="Helvetica" w:cs="Helvetica"/>
          <w:sz w:val="22"/>
          <w:szCs w:val="22"/>
        </w:rPr>
        <w:t xml:space="preserve"> artigo 4º, o inciso XIV, com a seguinte redação:</w:t>
      </w:r>
    </w:p>
    <w:p w14:paraId="7C0B66CC" w14:textId="77777777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"XIV - o Programa Prospera, de que trata o Decreto nº 64.756, de 24 de janeiro de 2020, integrado pelas ações Prospera Família e Prospera Jovem, observado o disposto nos Anexos VIII e IX deste decreto.". (NR);</w:t>
      </w:r>
    </w:p>
    <w:p w14:paraId="5C73A03C" w14:textId="47B916FC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II -</w:t>
      </w:r>
      <w:r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E36A7D">
        <w:rPr>
          <w:rFonts w:ascii="Helvetica" w:hAnsi="Helvetica" w:cs="Helvetica"/>
          <w:sz w:val="22"/>
          <w:szCs w:val="22"/>
        </w:rPr>
        <w:t>os</w:t>
      </w:r>
      <w:proofErr w:type="gramEnd"/>
      <w:r w:rsidRPr="00E36A7D">
        <w:rPr>
          <w:rFonts w:ascii="Helvetica" w:hAnsi="Helvetica" w:cs="Helvetica"/>
          <w:sz w:val="22"/>
          <w:szCs w:val="22"/>
        </w:rPr>
        <w:t xml:space="preserve"> Anexos VIII e IX, na conformidade dos Anexos I e II que integram este decreto.</w:t>
      </w:r>
    </w:p>
    <w:p w14:paraId="5AD70F03" w14:textId="60D585B1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Artigo 2º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E36A7D">
        <w:rPr>
          <w:rFonts w:ascii="Helvetica" w:hAnsi="Helvetica" w:cs="Helvetica"/>
          <w:sz w:val="22"/>
          <w:szCs w:val="22"/>
        </w:rPr>
        <w:t>Fica acrescentado ao Decreto nº 64.756, de 24 de janeiro de 2020, o artigo 8º-A, com a seguinte redação:</w:t>
      </w:r>
    </w:p>
    <w:p w14:paraId="0767D18A" w14:textId="3BBAA719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"Artigo 8º - A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E36A7D">
        <w:rPr>
          <w:rFonts w:ascii="Helvetica" w:hAnsi="Helvetica" w:cs="Helvetica"/>
          <w:sz w:val="22"/>
          <w:szCs w:val="22"/>
        </w:rPr>
        <w:t>O Programa Prospera será executado no âmbito da gestão do Programa Bolsa do Povo, nos termos do artigo 3º do Decreto nº 65.812, de 23 de junho de 2021.".</w:t>
      </w:r>
    </w:p>
    <w:p w14:paraId="34DE60BE" w14:textId="3060A046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Artigo 3º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E36A7D">
        <w:rPr>
          <w:rFonts w:ascii="Helvetica" w:hAnsi="Helvetica" w:cs="Helvetica"/>
          <w:sz w:val="22"/>
          <w:szCs w:val="22"/>
        </w:rPr>
        <w:t>O Secretário de Desenvolvimento Social editará normas complementares necessárias ao cumprimento deste decreto.</w:t>
      </w:r>
    </w:p>
    <w:p w14:paraId="5232290C" w14:textId="18715DA9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Artigo 4º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E36A7D">
        <w:rPr>
          <w:rFonts w:ascii="Helvetica" w:hAnsi="Helvetica" w:cs="Helvetica"/>
          <w:sz w:val="22"/>
          <w:szCs w:val="22"/>
        </w:rPr>
        <w:t>Este decreto entra em vigor na data de sua publicação, retroagindo seus efeitos, exclusivamente no caso de seu artigo 2º, a 13 de agosto de 2021.</w:t>
      </w:r>
    </w:p>
    <w:p w14:paraId="695D8AE6" w14:textId="77777777" w:rsidR="00E36A7D" w:rsidRP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Palácio dos Bandeirantes, 15 de outubro de 2021</w:t>
      </w:r>
    </w:p>
    <w:p w14:paraId="44A675B7" w14:textId="0B5800CD" w:rsidR="00E36A7D" w:rsidRDefault="00E36A7D" w:rsidP="00E36A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6A7D">
        <w:rPr>
          <w:rFonts w:ascii="Helvetica" w:hAnsi="Helvetica" w:cs="Helvetica"/>
          <w:sz w:val="22"/>
          <w:szCs w:val="22"/>
        </w:rPr>
        <w:t>JOÃO DORIA</w:t>
      </w:r>
    </w:p>
    <w:p w14:paraId="1B5DD288" w14:textId="355AEEBD" w:rsidR="00E77966" w:rsidRDefault="00E77966" w:rsidP="00E77966">
      <w:pPr>
        <w:pStyle w:val="TextosemFormatao"/>
        <w:ind w:firstLine="1418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br w:type="page"/>
      </w:r>
    </w:p>
    <w:p w14:paraId="6BC8217D" w14:textId="596FE96D" w:rsidR="00E77966" w:rsidRPr="00E77966" w:rsidRDefault="00E77966" w:rsidP="00E77966">
      <w:pPr>
        <w:spacing w:after="0" w:line="240" w:lineRule="exact"/>
        <w:jc w:val="center"/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</w:pPr>
      <w:r w:rsidRPr="00E77966"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lastRenderedPageBreak/>
        <w:t>ANEXO I</w:t>
      </w:r>
    </w:p>
    <w:p w14:paraId="77B9B0D1" w14:textId="77777777" w:rsidR="00E77966" w:rsidRPr="00E77966" w:rsidRDefault="00E77966" w:rsidP="00E77966">
      <w:pPr>
        <w:spacing w:after="0" w:line="240" w:lineRule="exact"/>
        <w:jc w:val="center"/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</w:pPr>
      <w:r w:rsidRPr="00E77966"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 xml:space="preserve">a que se refere o inciso II do artigo 1º do </w:t>
      </w:r>
    </w:p>
    <w:p w14:paraId="29C13E3C" w14:textId="43A9BCEE" w:rsidR="00E77966" w:rsidRPr="00E77966" w:rsidRDefault="00E77966" w:rsidP="00E77966">
      <w:pPr>
        <w:spacing w:after="0" w:line="240" w:lineRule="exact"/>
        <w:jc w:val="center"/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</w:pPr>
      <w:r w:rsidRPr="00E77966"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 xml:space="preserve">Decreto nº </w:t>
      </w:r>
      <w:proofErr w:type="gramStart"/>
      <w:r w:rsidRPr="00E77966"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>66.134 ,</w:t>
      </w:r>
      <w:proofErr w:type="gramEnd"/>
      <w:r w:rsidRPr="00E77966"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 xml:space="preserve"> de </w:t>
      </w:r>
      <w:r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>15</w:t>
      </w:r>
      <w:r w:rsidRPr="00E77966"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 xml:space="preserve"> de</w:t>
      </w:r>
      <w:r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 xml:space="preserve"> outubro</w:t>
      </w:r>
      <w:r w:rsidRPr="00E77966">
        <w:rPr>
          <w:rFonts w:ascii="Helvetica" w:hAnsi="Helvetica" w:cs="Helvetica"/>
          <w:b/>
          <w:bCs/>
          <w:color w:val="000000"/>
          <w:spacing w:val="10"/>
          <w:sz w:val="20"/>
          <w:szCs w:val="20"/>
        </w:rPr>
        <w:t xml:space="preserve"> de 2021</w:t>
      </w:r>
    </w:p>
    <w:p w14:paraId="757D4475" w14:textId="77777777" w:rsidR="00E77966" w:rsidRPr="00E77966" w:rsidRDefault="00E77966" w:rsidP="00E77966">
      <w:pPr>
        <w:spacing w:line="240" w:lineRule="exact"/>
        <w:jc w:val="center"/>
        <w:rPr>
          <w:rFonts w:ascii="Helvetica" w:hAnsi="Helvetica" w:cs="Helvetica"/>
          <w:b/>
          <w:bCs/>
          <w:spacing w:val="10"/>
          <w:sz w:val="20"/>
          <w:szCs w:val="20"/>
        </w:rPr>
      </w:pPr>
    </w:p>
    <w:p w14:paraId="61B83357" w14:textId="77777777" w:rsidR="00E77966" w:rsidRPr="00E77966" w:rsidRDefault="00E77966" w:rsidP="00E77966">
      <w:pPr>
        <w:spacing w:after="0" w:line="240" w:lineRule="exact"/>
        <w:jc w:val="center"/>
        <w:rPr>
          <w:rFonts w:ascii="Helvetica" w:eastAsia="Calibri" w:hAnsi="Helvetica" w:cs="Helvetica"/>
          <w:b/>
          <w:spacing w:val="10"/>
          <w:sz w:val="20"/>
          <w:szCs w:val="20"/>
        </w:rPr>
      </w:pPr>
      <w:r w:rsidRPr="00E77966">
        <w:rPr>
          <w:rFonts w:ascii="Helvetica" w:eastAsia="Calibri" w:hAnsi="Helvetica" w:cs="Helvetica"/>
          <w:b/>
          <w:spacing w:val="10"/>
          <w:sz w:val="20"/>
          <w:szCs w:val="20"/>
        </w:rPr>
        <w:t>Anexo VIII</w:t>
      </w:r>
    </w:p>
    <w:p w14:paraId="72966DBD" w14:textId="77777777" w:rsidR="00E77966" w:rsidRPr="00E77966" w:rsidRDefault="00E77966" w:rsidP="00E77966">
      <w:pPr>
        <w:spacing w:after="0" w:line="240" w:lineRule="exact"/>
        <w:jc w:val="center"/>
        <w:rPr>
          <w:rFonts w:ascii="Helvetica" w:eastAsia="Calibri" w:hAnsi="Helvetica" w:cs="Helvetica"/>
          <w:b/>
          <w:spacing w:val="10"/>
          <w:sz w:val="20"/>
          <w:szCs w:val="20"/>
        </w:rPr>
      </w:pPr>
      <w:bookmarkStart w:id="1" w:name="_Hlk83738973"/>
      <w:r w:rsidRPr="00E77966">
        <w:rPr>
          <w:rFonts w:ascii="Helvetica" w:eastAsia="Calibri" w:hAnsi="Helvetica" w:cs="Helvetica"/>
          <w:b/>
          <w:spacing w:val="10"/>
          <w:sz w:val="20"/>
          <w:szCs w:val="20"/>
        </w:rPr>
        <w:t xml:space="preserve">a que se refere o inciso XIV do artigo 4º do </w:t>
      </w:r>
    </w:p>
    <w:p w14:paraId="0FFCE366" w14:textId="77777777" w:rsidR="00E77966" w:rsidRPr="00E77966" w:rsidRDefault="00E77966" w:rsidP="00E77966">
      <w:pPr>
        <w:spacing w:after="0" w:line="240" w:lineRule="exact"/>
        <w:jc w:val="center"/>
        <w:rPr>
          <w:rFonts w:ascii="Helvetica" w:eastAsia="Calibri" w:hAnsi="Helvetica" w:cs="Helvetica"/>
          <w:b/>
          <w:spacing w:val="10"/>
          <w:sz w:val="20"/>
          <w:szCs w:val="20"/>
        </w:rPr>
      </w:pPr>
      <w:r w:rsidRPr="00E77966">
        <w:rPr>
          <w:rFonts w:ascii="Helvetica" w:eastAsia="Calibri" w:hAnsi="Helvetica" w:cs="Helvetica"/>
          <w:b/>
          <w:spacing w:val="10"/>
          <w:sz w:val="20"/>
          <w:szCs w:val="20"/>
        </w:rPr>
        <w:t>Decreto nº 65.812, de 23 de junho de 2021</w:t>
      </w:r>
      <w:bookmarkEnd w:id="1"/>
      <w:r w:rsidRPr="00E77966">
        <w:rPr>
          <w:rFonts w:ascii="Helvetica" w:eastAsia="Calibri" w:hAnsi="Helvetica" w:cs="Helvetica"/>
          <w:b/>
          <w:spacing w:val="10"/>
          <w:sz w:val="20"/>
          <w:szCs w:val="20"/>
        </w:rPr>
        <w:t>.</w:t>
      </w:r>
    </w:p>
    <w:p w14:paraId="73AC7DB8" w14:textId="77777777" w:rsidR="00E77966" w:rsidRPr="00E77966" w:rsidRDefault="00E77966" w:rsidP="00E77966">
      <w:pPr>
        <w:spacing w:line="240" w:lineRule="exact"/>
        <w:rPr>
          <w:rFonts w:ascii="Helvetica" w:hAnsi="Helvetica" w:cs="Helvetica"/>
          <w:sz w:val="20"/>
          <w:szCs w:val="20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E77966" w:rsidRPr="00E77966" w14:paraId="2C761893" w14:textId="77777777" w:rsidTr="007C2F82">
        <w:trPr>
          <w:trHeight w:val="545"/>
        </w:trPr>
        <w:tc>
          <w:tcPr>
            <w:tcW w:w="2836" w:type="dxa"/>
            <w:shd w:val="clear" w:color="auto" w:fill="auto"/>
            <w:vAlign w:val="center"/>
          </w:tcPr>
          <w:p w14:paraId="3B5FE87E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</w:pPr>
            <w:bookmarkStart w:id="2" w:name="_Hlk85208150"/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t xml:space="preserve">Ação: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66EBEF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Prospera Família</w:t>
            </w:r>
          </w:p>
        </w:tc>
      </w:tr>
      <w:tr w:rsidR="00E77966" w:rsidRPr="00E77966" w14:paraId="6B789445" w14:textId="77777777" w:rsidTr="007C2F82">
        <w:trPr>
          <w:trHeight w:val="553"/>
        </w:trPr>
        <w:tc>
          <w:tcPr>
            <w:tcW w:w="2836" w:type="dxa"/>
            <w:shd w:val="clear" w:color="auto" w:fill="auto"/>
            <w:vAlign w:val="center"/>
          </w:tcPr>
          <w:p w14:paraId="499996B2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t>Eixo Programático: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36F598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Assistência Social</w:t>
            </w:r>
          </w:p>
        </w:tc>
      </w:tr>
      <w:tr w:rsidR="00E77966" w:rsidRPr="00E77966" w14:paraId="15AD3854" w14:textId="77777777" w:rsidTr="007C2F82">
        <w:trPr>
          <w:trHeight w:val="794"/>
        </w:trPr>
        <w:tc>
          <w:tcPr>
            <w:tcW w:w="2836" w:type="dxa"/>
            <w:shd w:val="clear" w:color="auto" w:fill="auto"/>
            <w:vAlign w:val="center"/>
          </w:tcPr>
          <w:p w14:paraId="0BDD02EC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t>Secretaria de Estado Responsável: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C5C1EB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Secretaria de Desenvolvimento Social</w:t>
            </w:r>
          </w:p>
        </w:tc>
      </w:tr>
      <w:tr w:rsidR="00E77966" w:rsidRPr="00E77966" w14:paraId="6A699E07" w14:textId="77777777" w:rsidTr="007C2F82">
        <w:trPr>
          <w:trHeight w:val="794"/>
        </w:trPr>
        <w:tc>
          <w:tcPr>
            <w:tcW w:w="2836" w:type="dxa"/>
            <w:shd w:val="clear" w:color="auto" w:fill="auto"/>
            <w:vAlign w:val="center"/>
          </w:tcPr>
          <w:p w14:paraId="3156ADD5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t>Beneficiário: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578A83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Família monoparental em situação ativa e atuali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 xml:space="preserve">zada no Cadastro Único para Programas Sociais do Governo Federal – </w:t>
            </w:r>
            <w:proofErr w:type="spellStart"/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CadÚnico</w:t>
            </w:r>
            <w:proofErr w:type="spellEnd"/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, que possua renda fa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miliar “per capita” mensal de até R$ 89,00 (oi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tenta e nove reais) e que conte com uma ou mais crianças de 0 (zero) a 6 (seis) anos de idade, preferencialmente atendidas por programas e ser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viços des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tinados à primeira infância, observado o disposto em Re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solução do Secretário de Desenvol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vimento Social.</w:t>
            </w:r>
          </w:p>
        </w:tc>
      </w:tr>
      <w:tr w:rsidR="00E77966" w:rsidRPr="00E77966" w14:paraId="604D482E" w14:textId="77777777" w:rsidTr="007C2F82">
        <w:trPr>
          <w:trHeight w:val="794"/>
        </w:trPr>
        <w:tc>
          <w:tcPr>
            <w:tcW w:w="2836" w:type="dxa"/>
            <w:shd w:val="clear" w:color="auto" w:fill="auto"/>
            <w:vAlign w:val="center"/>
          </w:tcPr>
          <w:p w14:paraId="70E05598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t>Valor por beneficiá</w:t>
            </w: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softHyphen/>
              <w:t>rio, de acordo com a finalidade do bene</w:t>
            </w: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softHyphen/>
              <w:t>fí</w:t>
            </w: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softHyphen/>
              <w:t>cio: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40AD5D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I - Finalidade de apoio ao consumo para subsis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tência:</w:t>
            </w:r>
          </w:p>
          <w:p w14:paraId="7147C071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a) para beneficiário do Bolsa Família: R$ 80,00 (oitenta reais), somados a R$ 20,00 (vinte reais) por dependente menor de 18 anos, por mês;</w:t>
            </w:r>
          </w:p>
          <w:p w14:paraId="68AEB253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b) para não beneficiários do Bolsa Família: R$ 200,00 (duzentos reais), somados a R$ 40,00 (qua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renta reais) por dependente menor de 18 anos, por mês;</w:t>
            </w:r>
          </w:p>
          <w:p w14:paraId="10FBFCFC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II - Finalidade de estímulo à poupança: R$ 500,00 (qui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 xml:space="preserve">nhentos reais); </w:t>
            </w:r>
          </w:p>
          <w:p w14:paraId="2E25196D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III - Finalidade de aquisição de bens e ferramen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tas: R$ 1.500,00 (mil e quinhentos reais).</w:t>
            </w:r>
          </w:p>
        </w:tc>
      </w:tr>
      <w:tr w:rsidR="00E77966" w:rsidRPr="00E77966" w14:paraId="33373EE8" w14:textId="77777777" w:rsidTr="007C2F82">
        <w:trPr>
          <w:trHeight w:val="794"/>
        </w:trPr>
        <w:tc>
          <w:tcPr>
            <w:tcW w:w="2836" w:type="dxa"/>
            <w:shd w:val="clear" w:color="auto" w:fill="auto"/>
            <w:vAlign w:val="center"/>
          </w:tcPr>
          <w:p w14:paraId="0FD707E5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t>Periodicidade do paga</w:t>
            </w: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softHyphen/>
              <w:t>mento: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56A758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Observado o disposto em Resolução do Secretário de De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senvolvimento Social, o incentivo financeiro será pago a cada edição da ação nos seguintes termos:</w:t>
            </w:r>
          </w:p>
          <w:p w14:paraId="625EBBED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I - 12 (doze) parcelas mensais, para apoio ao consumo; </w:t>
            </w:r>
          </w:p>
          <w:p w14:paraId="675C4E95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II - </w:t>
            </w:r>
            <w:proofErr w:type="gramStart"/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em</w:t>
            </w:r>
            <w:proofErr w:type="gramEnd"/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 xml:space="preserve"> parcela única, para estímulo à poupança; </w:t>
            </w:r>
          </w:p>
          <w:p w14:paraId="5B3FA203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III- em parcela única, para aquisição de bens e ferra</w:t>
            </w: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softHyphen/>
              <w:t>mentas.</w:t>
            </w:r>
          </w:p>
        </w:tc>
      </w:tr>
      <w:tr w:rsidR="00E77966" w:rsidRPr="00E77966" w14:paraId="4A392F22" w14:textId="77777777" w:rsidTr="007C2F82">
        <w:trPr>
          <w:trHeight w:val="794"/>
        </w:trPr>
        <w:tc>
          <w:tcPr>
            <w:tcW w:w="2836" w:type="dxa"/>
            <w:shd w:val="clear" w:color="auto" w:fill="auto"/>
            <w:vAlign w:val="center"/>
          </w:tcPr>
          <w:p w14:paraId="697520BF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t>Vigência máxima do be</w:t>
            </w:r>
            <w:r w:rsidRPr="00E77966">
              <w:rPr>
                <w:rFonts w:ascii="Helvetica" w:eastAsia="Calibri" w:hAnsi="Helvetica" w:cs="Helvetica"/>
                <w:b/>
                <w:spacing w:val="10"/>
                <w:sz w:val="20"/>
                <w:szCs w:val="20"/>
              </w:rPr>
              <w:softHyphen/>
              <w:t>nefício: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7630C1" w14:textId="77777777" w:rsidR="00E77966" w:rsidRPr="00E77966" w:rsidRDefault="00E77966" w:rsidP="007C2F82">
            <w:pPr>
              <w:spacing w:line="240" w:lineRule="exact"/>
              <w:rPr>
                <w:rFonts w:ascii="Helvetica" w:eastAsia="Calibri" w:hAnsi="Helvetica" w:cs="Helvetica"/>
                <w:spacing w:val="10"/>
                <w:sz w:val="20"/>
                <w:szCs w:val="20"/>
              </w:rPr>
            </w:pPr>
            <w:r w:rsidRPr="00E77966">
              <w:rPr>
                <w:rFonts w:ascii="Helvetica" w:eastAsia="Calibri" w:hAnsi="Helvetica" w:cs="Helvetica"/>
                <w:spacing w:val="10"/>
                <w:sz w:val="20"/>
                <w:szCs w:val="20"/>
              </w:rPr>
              <w:t>Até o exercício de 2022.</w:t>
            </w:r>
          </w:p>
        </w:tc>
      </w:tr>
      <w:bookmarkEnd w:id="2"/>
    </w:tbl>
    <w:p w14:paraId="2CA5588C" w14:textId="325D17E4" w:rsidR="00E77966" w:rsidRDefault="00E77966" w:rsidP="00E77966">
      <w:pPr>
        <w:pStyle w:val="TextosemFormatao"/>
        <w:spacing w:before="60" w:after="6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2DC35B79" w14:textId="466BD87D" w:rsidR="00E77966" w:rsidRPr="00E77966" w:rsidRDefault="00E77966" w:rsidP="00E77966">
      <w:pPr>
        <w:spacing w:after="0" w:line="240" w:lineRule="exact"/>
        <w:jc w:val="center"/>
        <w:rPr>
          <w:rFonts w:ascii="Helvetica" w:hAnsi="Helvetica" w:cs="Helvetica"/>
          <w:b/>
          <w:bCs/>
          <w:color w:val="000000"/>
          <w:spacing w:val="10"/>
          <w:szCs w:val="24"/>
        </w:rPr>
      </w:pPr>
      <w:r w:rsidRPr="00E77966">
        <w:rPr>
          <w:rFonts w:ascii="Helvetica" w:hAnsi="Helvetica" w:cs="Helvetica"/>
          <w:b/>
          <w:bCs/>
          <w:color w:val="000000"/>
          <w:spacing w:val="10"/>
          <w:szCs w:val="24"/>
        </w:rPr>
        <w:lastRenderedPageBreak/>
        <w:t>ANEXO II</w:t>
      </w:r>
    </w:p>
    <w:p w14:paraId="3A98F00C" w14:textId="77777777" w:rsidR="00E77966" w:rsidRPr="00E77966" w:rsidRDefault="00E77966" w:rsidP="00E77966">
      <w:pPr>
        <w:spacing w:after="0" w:line="240" w:lineRule="exact"/>
        <w:jc w:val="center"/>
        <w:rPr>
          <w:rFonts w:ascii="Helvetica" w:hAnsi="Helvetica" w:cs="Helvetica"/>
          <w:b/>
          <w:bCs/>
          <w:color w:val="000000"/>
          <w:spacing w:val="10"/>
          <w:szCs w:val="24"/>
        </w:rPr>
      </w:pPr>
      <w:r w:rsidRPr="00E77966">
        <w:rPr>
          <w:rFonts w:ascii="Helvetica" w:hAnsi="Helvetica" w:cs="Helvetica"/>
          <w:b/>
          <w:bCs/>
          <w:color w:val="000000"/>
          <w:spacing w:val="10"/>
          <w:szCs w:val="24"/>
        </w:rPr>
        <w:t xml:space="preserve">a que se refere o inciso II do artigo 1º do </w:t>
      </w:r>
    </w:p>
    <w:p w14:paraId="183DD3F4" w14:textId="637B8874" w:rsidR="00E77966" w:rsidRPr="00E77966" w:rsidRDefault="00E77966" w:rsidP="00E77966">
      <w:pPr>
        <w:spacing w:after="0" w:line="240" w:lineRule="exact"/>
        <w:jc w:val="center"/>
        <w:rPr>
          <w:rFonts w:ascii="Helvetica" w:hAnsi="Helvetica" w:cs="Helvetica"/>
          <w:b/>
          <w:bCs/>
          <w:color w:val="000000"/>
          <w:spacing w:val="10"/>
          <w:szCs w:val="24"/>
        </w:rPr>
      </w:pPr>
      <w:r w:rsidRPr="00E77966">
        <w:rPr>
          <w:rFonts w:ascii="Helvetica" w:hAnsi="Helvetica" w:cs="Helvetica"/>
          <w:b/>
          <w:bCs/>
          <w:color w:val="000000"/>
          <w:spacing w:val="10"/>
          <w:szCs w:val="24"/>
        </w:rPr>
        <w:t xml:space="preserve">Decreto nº </w:t>
      </w:r>
      <w:proofErr w:type="gramStart"/>
      <w:r>
        <w:rPr>
          <w:rFonts w:ascii="Helvetica" w:hAnsi="Helvetica" w:cs="Helvetica"/>
          <w:b/>
          <w:bCs/>
          <w:color w:val="000000"/>
          <w:spacing w:val="10"/>
          <w:szCs w:val="24"/>
        </w:rPr>
        <w:t>66.134</w:t>
      </w:r>
      <w:r w:rsidRPr="00E77966">
        <w:rPr>
          <w:rFonts w:ascii="Helvetica" w:hAnsi="Helvetica" w:cs="Helvetica"/>
          <w:b/>
          <w:bCs/>
          <w:color w:val="000000"/>
          <w:spacing w:val="10"/>
          <w:szCs w:val="24"/>
        </w:rPr>
        <w:t xml:space="preserve"> ,</w:t>
      </w:r>
      <w:proofErr w:type="gramEnd"/>
      <w:r w:rsidRPr="00E77966">
        <w:rPr>
          <w:rFonts w:ascii="Helvetica" w:hAnsi="Helvetica" w:cs="Helvetica"/>
          <w:b/>
          <w:bCs/>
          <w:color w:val="000000"/>
          <w:spacing w:val="10"/>
          <w:szCs w:val="24"/>
        </w:rPr>
        <w:t xml:space="preserve"> de </w:t>
      </w:r>
      <w:r>
        <w:rPr>
          <w:rFonts w:ascii="Helvetica" w:hAnsi="Helvetica" w:cs="Helvetica"/>
          <w:b/>
          <w:bCs/>
          <w:color w:val="000000"/>
          <w:spacing w:val="10"/>
          <w:szCs w:val="24"/>
        </w:rPr>
        <w:t>15</w:t>
      </w:r>
      <w:r w:rsidRPr="00E77966">
        <w:rPr>
          <w:rFonts w:ascii="Helvetica" w:hAnsi="Helvetica" w:cs="Helvetica"/>
          <w:b/>
          <w:bCs/>
          <w:color w:val="000000"/>
          <w:spacing w:val="10"/>
          <w:szCs w:val="24"/>
        </w:rPr>
        <w:t xml:space="preserve"> de </w:t>
      </w:r>
      <w:r>
        <w:rPr>
          <w:rFonts w:ascii="Helvetica" w:hAnsi="Helvetica" w:cs="Helvetica"/>
          <w:b/>
          <w:bCs/>
          <w:color w:val="000000"/>
          <w:spacing w:val="10"/>
          <w:szCs w:val="24"/>
        </w:rPr>
        <w:t>outubro</w:t>
      </w:r>
      <w:r w:rsidRPr="00E77966">
        <w:rPr>
          <w:rFonts w:ascii="Helvetica" w:hAnsi="Helvetica" w:cs="Helvetica"/>
          <w:b/>
          <w:bCs/>
          <w:color w:val="000000"/>
          <w:spacing w:val="10"/>
          <w:szCs w:val="24"/>
        </w:rPr>
        <w:t xml:space="preserve"> de 2021</w:t>
      </w:r>
    </w:p>
    <w:p w14:paraId="16F8F815" w14:textId="77777777" w:rsidR="00E77966" w:rsidRPr="00E77966" w:rsidRDefault="00E77966" w:rsidP="00E77966">
      <w:pPr>
        <w:spacing w:line="240" w:lineRule="exact"/>
        <w:jc w:val="center"/>
        <w:rPr>
          <w:rFonts w:ascii="Helvetica" w:eastAsia="Calibri" w:hAnsi="Helvetica" w:cs="Helvetica"/>
          <w:b/>
          <w:spacing w:val="10"/>
          <w:szCs w:val="24"/>
        </w:rPr>
      </w:pPr>
    </w:p>
    <w:p w14:paraId="6851F932" w14:textId="77777777" w:rsidR="00E77966" w:rsidRPr="00E77966" w:rsidRDefault="00E77966" w:rsidP="00E77966">
      <w:pPr>
        <w:spacing w:after="0" w:line="240" w:lineRule="exact"/>
        <w:jc w:val="center"/>
        <w:rPr>
          <w:rFonts w:ascii="Helvetica" w:eastAsia="Calibri" w:hAnsi="Helvetica" w:cs="Helvetica"/>
          <w:b/>
          <w:spacing w:val="10"/>
          <w:szCs w:val="24"/>
        </w:rPr>
      </w:pPr>
      <w:r w:rsidRPr="00E77966">
        <w:rPr>
          <w:rFonts w:ascii="Helvetica" w:eastAsia="Calibri" w:hAnsi="Helvetica" w:cs="Helvetica"/>
          <w:b/>
          <w:spacing w:val="10"/>
          <w:szCs w:val="24"/>
        </w:rPr>
        <w:t>Anexo IX</w:t>
      </w:r>
    </w:p>
    <w:p w14:paraId="2BD1DC84" w14:textId="77777777" w:rsidR="00E77966" w:rsidRPr="00E77966" w:rsidRDefault="00E77966" w:rsidP="00E77966">
      <w:pPr>
        <w:spacing w:after="0" w:line="240" w:lineRule="exact"/>
        <w:jc w:val="center"/>
        <w:rPr>
          <w:rFonts w:ascii="Helvetica" w:eastAsia="Calibri" w:hAnsi="Helvetica" w:cs="Helvetica"/>
          <w:b/>
          <w:spacing w:val="10"/>
          <w:szCs w:val="24"/>
        </w:rPr>
      </w:pPr>
      <w:r w:rsidRPr="00E77966">
        <w:rPr>
          <w:rFonts w:ascii="Helvetica" w:eastAsia="Calibri" w:hAnsi="Helvetica" w:cs="Helvetica"/>
          <w:b/>
          <w:spacing w:val="10"/>
          <w:szCs w:val="24"/>
        </w:rPr>
        <w:t xml:space="preserve">a que se refere o inciso XIV do artigo 4º do </w:t>
      </w:r>
    </w:p>
    <w:p w14:paraId="2D057644" w14:textId="77777777" w:rsidR="00E77966" w:rsidRPr="00E77966" w:rsidRDefault="00E77966" w:rsidP="00E77966">
      <w:pPr>
        <w:spacing w:after="0" w:line="240" w:lineRule="exact"/>
        <w:jc w:val="center"/>
        <w:rPr>
          <w:rFonts w:ascii="Helvetica" w:eastAsia="Calibri" w:hAnsi="Helvetica" w:cs="Helvetica"/>
          <w:b/>
          <w:spacing w:val="10"/>
          <w:szCs w:val="24"/>
        </w:rPr>
      </w:pPr>
      <w:r w:rsidRPr="00E77966">
        <w:rPr>
          <w:rFonts w:ascii="Helvetica" w:eastAsia="Calibri" w:hAnsi="Helvetica" w:cs="Helvetica"/>
          <w:b/>
          <w:spacing w:val="10"/>
          <w:szCs w:val="24"/>
        </w:rPr>
        <w:t>Decreto nº 65.812, de 23 de junho de 2021</w:t>
      </w:r>
    </w:p>
    <w:p w14:paraId="4596DF07" w14:textId="77777777" w:rsidR="00E77966" w:rsidRPr="00E77966" w:rsidRDefault="00E77966" w:rsidP="00E77966">
      <w:pPr>
        <w:spacing w:line="240" w:lineRule="exact"/>
        <w:jc w:val="center"/>
        <w:rPr>
          <w:rFonts w:ascii="Helvetica" w:eastAsia="Calibri" w:hAnsi="Helvetica" w:cs="Helvetica"/>
          <w:b/>
          <w:spacing w:val="10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E77966" w:rsidRPr="00E77966" w14:paraId="23819491" w14:textId="77777777" w:rsidTr="007C2F82">
        <w:trPr>
          <w:trHeight w:val="665"/>
        </w:trPr>
        <w:tc>
          <w:tcPr>
            <w:tcW w:w="3119" w:type="dxa"/>
            <w:shd w:val="clear" w:color="auto" w:fill="auto"/>
            <w:vAlign w:val="center"/>
          </w:tcPr>
          <w:p w14:paraId="47F6DE98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b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t xml:space="preserve">Ação: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C638E5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Prospera Jovem</w:t>
            </w:r>
          </w:p>
        </w:tc>
      </w:tr>
      <w:tr w:rsidR="00E77966" w:rsidRPr="00E77966" w14:paraId="196C5A35" w14:textId="77777777" w:rsidTr="007C2F82">
        <w:trPr>
          <w:trHeight w:val="561"/>
        </w:trPr>
        <w:tc>
          <w:tcPr>
            <w:tcW w:w="3119" w:type="dxa"/>
            <w:shd w:val="clear" w:color="auto" w:fill="auto"/>
            <w:vAlign w:val="center"/>
          </w:tcPr>
          <w:p w14:paraId="3D2D3D51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b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t>Eixo Programático: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962093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Assistência Social</w:t>
            </w:r>
          </w:p>
        </w:tc>
      </w:tr>
      <w:tr w:rsidR="00E77966" w:rsidRPr="00E77966" w14:paraId="520EF82B" w14:textId="77777777" w:rsidTr="007C2F82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6CCD5C92" w14:textId="152EA2C9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b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t>Secretaria de Estado Responsável: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654B85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Secretaria de Desenvolvimento Social</w:t>
            </w:r>
          </w:p>
        </w:tc>
      </w:tr>
      <w:tr w:rsidR="00E77966" w:rsidRPr="00E77966" w14:paraId="6068F6D4" w14:textId="77777777" w:rsidTr="007C2F82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23537512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b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t>Beneficiário: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BEF926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Aluno matriculado nos 2º ou 3º ano do En</w:t>
            </w: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softHyphen/>
              <w:t xml:space="preserve">sino Médio, pertencente </w:t>
            </w:r>
            <w:proofErr w:type="spellStart"/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a</w:t>
            </w:r>
            <w:proofErr w:type="spellEnd"/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 xml:space="preserve"> família cuja renda mensal “per capita” seja de até meio </w:t>
            </w:r>
            <w:proofErr w:type="gramStart"/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salário mínimo</w:t>
            </w:r>
            <w:proofErr w:type="gramEnd"/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 xml:space="preserve"> e esteja em situação ativa e atualizada no Cadastro Único para Pro</w:t>
            </w: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softHyphen/>
              <w:t xml:space="preserve">gramas Sociais do Governo Federal – </w:t>
            </w:r>
            <w:proofErr w:type="spellStart"/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CadÚnico</w:t>
            </w:r>
            <w:proofErr w:type="spellEnd"/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, observado o disposto em Resolução do Secretário de Desenvolvimento Social.</w:t>
            </w:r>
          </w:p>
        </w:tc>
      </w:tr>
      <w:tr w:rsidR="00E77966" w:rsidRPr="00E77966" w14:paraId="54AD1C42" w14:textId="77777777" w:rsidTr="007C2F82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35D1FC8E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b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t>Valor por benefici</w:t>
            </w: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softHyphen/>
              <w:t>ário: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D2AFBF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 xml:space="preserve">Poderá totalizar até R$ 2.200,00 (dois mil e duzentos reais), observado o disposto em Resolução do Secretário de Desenvolvimento Social. </w:t>
            </w:r>
          </w:p>
        </w:tc>
      </w:tr>
      <w:tr w:rsidR="00E77966" w:rsidRPr="00E77966" w14:paraId="3CB4D420" w14:textId="77777777" w:rsidTr="007C2F82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10220312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b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t>Periodicidade do pagamento: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DC7D05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Parcela única ao final do projeto, podendo ser ofertado Bônus de Desempenho ao final de cada ano letivo, observado o disposto em Resolução do Secretário de Desenvolvi</w:t>
            </w: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softHyphen/>
              <w:t>mento Social.</w:t>
            </w:r>
          </w:p>
        </w:tc>
      </w:tr>
      <w:tr w:rsidR="00E77966" w:rsidRPr="00E77966" w14:paraId="0022FAF8" w14:textId="77777777" w:rsidTr="007C2F82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003AA905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b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b/>
                <w:spacing w:val="10"/>
                <w:szCs w:val="24"/>
              </w:rPr>
              <w:t xml:space="preserve">Vigência máxima do benefício: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72CCAD" w14:textId="77777777" w:rsidR="00E77966" w:rsidRPr="00E77966" w:rsidRDefault="00E77966" w:rsidP="007C2F82">
            <w:pPr>
              <w:spacing w:line="340" w:lineRule="exact"/>
              <w:rPr>
                <w:rFonts w:ascii="Helvetica" w:eastAsia="Calibri" w:hAnsi="Helvetica" w:cs="Helvetica"/>
                <w:spacing w:val="10"/>
                <w:szCs w:val="24"/>
              </w:rPr>
            </w:pPr>
            <w:r w:rsidRPr="00E77966">
              <w:rPr>
                <w:rFonts w:ascii="Helvetica" w:eastAsia="Calibri" w:hAnsi="Helvetica" w:cs="Helvetica"/>
                <w:spacing w:val="10"/>
                <w:szCs w:val="24"/>
              </w:rPr>
              <w:t>Até o exercício de 2022.</w:t>
            </w:r>
          </w:p>
        </w:tc>
      </w:tr>
    </w:tbl>
    <w:p w14:paraId="5902B018" w14:textId="77777777" w:rsidR="00E77966" w:rsidRPr="00C61F0C" w:rsidRDefault="00E77966" w:rsidP="00E77966">
      <w:pPr>
        <w:spacing w:line="240" w:lineRule="exact"/>
        <w:jc w:val="center"/>
        <w:rPr>
          <w:rFonts w:eastAsia="Calibri"/>
          <w:b/>
          <w:spacing w:val="10"/>
          <w:szCs w:val="24"/>
        </w:rPr>
      </w:pPr>
    </w:p>
    <w:p w14:paraId="2221F918" w14:textId="77777777" w:rsidR="00E77966" w:rsidRPr="00E77966" w:rsidRDefault="00E77966" w:rsidP="00E77966">
      <w:pPr>
        <w:pStyle w:val="TextosemFormatao"/>
        <w:spacing w:before="60" w:after="60"/>
        <w:jc w:val="both"/>
        <w:rPr>
          <w:rFonts w:ascii="Helvetica" w:hAnsi="Helvetica" w:cs="Helvetica"/>
          <w:sz w:val="20"/>
          <w:szCs w:val="20"/>
        </w:rPr>
      </w:pPr>
    </w:p>
    <w:sectPr w:rsidR="00E77966" w:rsidRPr="00E77966" w:rsidSect="00E7796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F9"/>
    <w:rsid w:val="00220823"/>
    <w:rsid w:val="00354A74"/>
    <w:rsid w:val="00745E6B"/>
    <w:rsid w:val="00B8393B"/>
    <w:rsid w:val="00BF61F9"/>
    <w:rsid w:val="00C27A50"/>
    <w:rsid w:val="00C44A17"/>
    <w:rsid w:val="00CF3523"/>
    <w:rsid w:val="00E36A7D"/>
    <w:rsid w:val="00E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E8F1"/>
  <w15:chartTrackingRefBased/>
  <w15:docId w15:val="{58A4AC0E-5E8E-4802-81DF-1871462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4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4A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Daniela Otaviano Alaerse</cp:lastModifiedBy>
  <cp:revision>5</cp:revision>
  <dcterms:created xsi:type="dcterms:W3CDTF">2021-10-18T11:58:00Z</dcterms:created>
  <dcterms:modified xsi:type="dcterms:W3CDTF">2021-10-18T12:37:00Z</dcterms:modified>
</cp:coreProperties>
</file>