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43C8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70.002, DE 20 DE OUTUBRO DE 2025</w:t>
      </w:r>
    </w:p>
    <w:p w14:paraId="2287FC3E" w14:textId="77777777" w:rsidR="002C292B" w:rsidRPr="00E80BCC" w:rsidRDefault="002C292B" w:rsidP="002C292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Altera o Decreto nº 53.051, de 3 de junho de 2008, que institui o Programa de Incentivo ao Investimento pelo Fabricante de Veículo Automotor - </w:t>
      </w:r>
      <w:proofErr w:type="spellStart"/>
      <w:r w:rsidRPr="00E80BCC">
        <w:rPr>
          <w:rFonts w:ascii="Helvetica-Normal" w:hAnsi="Helvetica-Normal"/>
          <w:sz w:val="22"/>
          <w:szCs w:val="22"/>
        </w:rPr>
        <w:t>ProVeículo</w:t>
      </w:r>
      <w:proofErr w:type="spellEnd"/>
      <w:r w:rsidRPr="00E80BCC">
        <w:rPr>
          <w:rFonts w:ascii="Helvetica-Normal" w:hAnsi="Helvetica-Normal"/>
          <w:sz w:val="22"/>
          <w:szCs w:val="22"/>
        </w:rPr>
        <w:t>.</w:t>
      </w:r>
    </w:p>
    <w:p w14:paraId="55E48CEC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 e considerando o disposto no artigo 46 da Lei nº 6.374, de 1º de março de 1989,</w:t>
      </w:r>
    </w:p>
    <w:p w14:paraId="3BFF0EA1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2E1089C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1º - Os dispositivos adiante indicados do Decreto nº 53.051, de 3 de junho de 2008, alterado pelos Decretos nº 63.104, de 22 de dezembro de 2017, e nº 66.610, de 30 de março de 2022, passam a vigorar com a seguinte redação:</w:t>
      </w:r>
    </w:p>
    <w:p w14:paraId="4E142582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E80BCC">
        <w:rPr>
          <w:rFonts w:ascii="Helvetica-Normal" w:hAnsi="Helvetica-Normal"/>
          <w:sz w:val="22"/>
          <w:szCs w:val="22"/>
        </w:rPr>
        <w:t>o</w:t>
      </w:r>
      <w:proofErr w:type="gramEnd"/>
      <w:r w:rsidRPr="00E80BCC">
        <w:rPr>
          <w:rFonts w:ascii="Helvetica-Normal" w:hAnsi="Helvetica-Normal"/>
          <w:sz w:val="22"/>
          <w:szCs w:val="22"/>
        </w:rPr>
        <w:t xml:space="preserve"> “caput” do artigo 2º, mantidos seus incisos:</w:t>
      </w:r>
    </w:p>
    <w:p w14:paraId="75EFC816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“Artigo 2º - O fabricante dos produtos descritos nos §§ 1º e 2º do artigo 1º deste decreto poderá utilizar o crédito acumulado do ICMS apropriado até 31 de dezembro de 2026, ou passível de apropriação, para:”; (NR)</w:t>
      </w:r>
    </w:p>
    <w:p w14:paraId="0ADBE85C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E80BCC">
        <w:rPr>
          <w:rFonts w:ascii="Helvetica-Normal" w:hAnsi="Helvetica-Normal"/>
          <w:sz w:val="22"/>
          <w:szCs w:val="22"/>
        </w:rPr>
        <w:t>o</w:t>
      </w:r>
      <w:proofErr w:type="gramEnd"/>
      <w:r w:rsidRPr="00E80BCC">
        <w:rPr>
          <w:rFonts w:ascii="Helvetica-Normal" w:hAnsi="Helvetica-Normal"/>
          <w:sz w:val="22"/>
          <w:szCs w:val="22"/>
        </w:rPr>
        <w:t xml:space="preserve"> “caput” do artigo 3º, mantidos seus incisos:</w:t>
      </w:r>
    </w:p>
    <w:p w14:paraId="316DC858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“Artigo 3º - Para fins de utilização do crédito acumulado do ICMS, nos termos deste decreto, o contribuinte deverá protocolar pedido junto à Secretaria de Desenvolvimento Econômico, dirigido à Comissão de Avaliação da Política de Desenvolvimento Econômico do Estado de São Paulo, até 31 de janeiro de 2027, contendo no mínimo:”. (NR)</w:t>
      </w:r>
    </w:p>
    <w:p w14:paraId="5BABB747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65A2FA6E" w14:textId="77777777" w:rsidR="002C292B" w:rsidRPr="00E80BCC" w:rsidRDefault="002C292B" w:rsidP="002C292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sectPr w:rsidR="002C292B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2B"/>
    <w:rsid w:val="002C292B"/>
    <w:rsid w:val="003B0FBD"/>
    <w:rsid w:val="0072185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DC87"/>
  <w15:chartTrackingRefBased/>
  <w15:docId w15:val="{7860DC7E-E282-4330-AEC6-C89687D5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2B"/>
  </w:style>
  <w:style w:type="paragraph" w:styleId="Ttulo1">
    <w:name w:val="heading 1"/>
    <w:basedOn w:val="Normal"/>
    <w:next w:val="Normal"/>
    <w:link w:val="Ttulo1Char"/>
    <w:uiPriority w:val="9"/>
    <w:qFormat/>
    <w:rsid w:val="002C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9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9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9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2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29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29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29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2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1093</Characters>
  <Application>Microsoft Office Word</Application>
  <DocSecurity>0</DocSecurity>
  <Lines>24</Lines>
  <Paragraphs>11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2025-10-21T14:15:00Z</dcterms:created>
  <dcterms:modified xsi:type="dcterms:W3CDTF">2025-10-21T14:16:00Z</dcterms:modified>
</cp:coreProperties>
</file>