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53BD" w14:textId="77777777" w:rsidR="00075789" w:rsidRPr="00196E85" w:rsidRDefault="00075789" w:rsidP="00075789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DECRETO Nº 70.601, DE 13 DE MAIO DE 2026</w:t>
      </w:r>
    </w:p>
    <w:p w14:paraId="72EE7121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Introduz alterações no Regulamento do Imposto sobre Operações Relativas à Circulação de Mercadorias e sobre Prestações de Serviços de Transporte Interestadual e Intermunicipal e de Comunicação - RICMS.</w:t>
      </w:r>
    </w:p>
    <w:p w14:paraId="40770423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96E85">
        <w:rPr>
          <w:rFonts w:ascii="Helvetica" w:hAnsi="Helvetica" w:cs="Helvetica"/>
          <w:sz w:val="22"/>
          <w:szCs w:val="22"/>
        </w:rPr>
        <w:t>, no uso de suas atribuições legais e tendo em vista o disposto no Ajuste SINIEF 38/25, de 5 de dezembro de 2025,</w:t>
      </w:r>
    </w:p>
    <w:p w14:paraId="30E68403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6634401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1º - Os dispositivos adiante indicados do Regulamento do Imposto sobre Operações Relativas à Circulação de Mercadorias e sobre Prestações de Serviços de Transporte Interestadual e Intermunicipal e de Comunicação - RICMS, aprovado pelo Decreto nº 45.490, de 30 de novembro de 2000, passam a vigorar com a seguinte redação:</w:t>
      </w:r>
    </w:p>
    <w:p w14:paraId="793496D4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§ 3º do artigo 124:</w:t>
      </w:r>
    </w:p>
    <w:p w14:paraId="718B3341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“§ 3º - Os documentos referidos neste artigo, exceto os previstos nos incisos III, XXII, XXIII, XXV, XXVI, XXVII, XXVIII, XXIX, XXX e XXXI, obedecerão aos modelos contidos no Anexo/Modelos.”; (NR)</w:t>
      </w:r>
    </w:p>
    <w:p w14:paraId="043A48B7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“caput” do § 5º do artigo 212-O, mantidos os seus itens:</w:t>
      </w:r>
    </w:p>
    <w:p w14:paraId="4B0450F2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“§ 5º - Os documentos de que tratam os incisos I a V e XII a XVII:”. (NR)</w:t>
      </w:r>
    </w:p>
    <w:p w14:paraId="7FA24427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2º - Ficam acrescentados ao Regulamento do Imposto sobre Operações Relativas à Circulação de Mercadorias e sobre Prestações de Serviços de Transporte Interestadual e Intermunicipal e de Comunicação - RICMS, aprovado pelo Decreto nº 45.490, de 30 de novembro de 2000, os dispositivos adiante indicados, com a seguinte redação:</w:t>
      </w:r>
    </w:p>
    <w:p w14:paraId="0F1D901F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“caput” do artigo 124, o inciso </w:t>
      </w:r>
      <w:proofErr w:type="gramStart"/>
      <w:r w:rsidRPr="00196E85">
        <w:rPr>
          <w:rFonts w:ascii="Helvetica" w:hAnsi="Helvetica" w:cs="Helvetica"/>
          <w:sz w:val="22"/>
          <w:szCs w:val="22"/>
        </w:rPr>
        <w:t>XXXI :</w:t>
      </w:r>
      <w:proofErr w:type="gramEnd"/>
    </w:p>
    <w:p w14:paraId="7C2EA3CA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“XXXI - Documento Auxiliar da Nota Fiscal Eletrônica do Gás - </w:t>
      </w:r>
      <w:proofErr w:type="spellStart"/>
      <w:r w:rsidRPr="00196E85">
        <w:rPr>
          <w:rFonts w:ascii="Helvetica" w:hAnsi="Helvetica" w:cs="Helvetica"/>
          <w:sz w:val="22"/>
          <w:szCs w:val="22"/>
        </w:rPr>
        <w:t>DANFGas</w:t>
      </w:r>
      <w:proofErr w:type="spellEnd"/>
      <w:r w:rsidRPr="00196E85">
        <w:rPr>
          <w:rFonts w:ascii="Helvetica" w:hAnsi="Helvetica" w:cs="Helvetica"/>
          <w:sz w:val="22"/>
          <w:szCs w:val="22"/>
        </w:rPr>
        <w:t xml:space="preserve"> (Ajuste SINIEF 38/25).”;</w:t>
      </w:r>
    </w:p>
    <w:p w14:paraId="244E74DF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196E85">
        <w:rPr>
          <w:rFonts w:ascii="Helvetica" w:hAnsi="Helvetica" w:cs="Helvetica"/>
          <w:sz w:val="22"/>
          <w:szCs w:val="22"/>
        </w:rPr>
        <w:t>ao</w:t>
      </w:r>
      <w:proofErr w:type="gramEnd"/>
      <w:r w:rsidRPr="00196E85">
        <w:rPr>
          <w:rFonts w:ascii="Helvetica" w:hAnsi="Helvetica" w:cs="Helvetica"/>
          <w:sz w:val="22"/>
          <w:szCs w:val="22"/>
        </w:rPr>
        <w:t xml:space="preserve"> “caput” do artigo 212-O, o inciso </w:t>
      </w:r>
      <w:proofErr w:type="gramStart"/>
      <w:r w:rsidRPr="00196E85">
        <w:rPr>
          <w:rFonts w:ascii="Helvetica" w:hAnsi="Helvetica" w:cs="Helvetica"/>
          <w:sz w:val="22"/>
          <w:szCs w:val="22"/>
        </w:rPr>
        <w:t>XVII :</w:t>
      </w:r>
      <w:proofErr w:type="gramEnd"/>
    </w:p>
    <w:p w14:paraId="70E6457B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“XVII - a Nota Fiscal Eletrônica do Gás - </w:t>
      </w:r>
      <w:proofErr w:type="spellStart"/>
      <w:r w:rsidRPr="00196E85">
        <w:rPr>
          <w:rFonts w:ascii="Helvetica" w:hAnsi="Helvetica" w:cs="Helvetica"/>
          <w:sz w:val="22"/>
          <w:szCs w:val="22"/>
        </w:rPr>
        <w:t>NFGas</w:t>
      </w:r>
      <w:proofErr w:type="spellEnd"/>
      <w:r w:rsidRPr="00196E85">
        <w:rPr>
          <w:rFonts w:ascii="Helvetica" w:hAnsi="Helvetica" w:cs="Helvetica"/>
          <w:sz w:val="22"/>
          <w:szCs w:val="22"/>
        </w:rPr>
        <w:t>, modelo 76.”;</w:t>
      </w:r>
    </w:p>
    <w:p w14:paraId="4D0481E9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III - ao artigo 212-O, o ​​§ </w:t>
      </w:r>
      <w:proofErr w:type="gramStart"/>
      <w:r w:rsidRPr="00196E85">
        <w:rPr>
          <w:rFonts w:ascii="Helvetica" w:hAnsi="Helvetica" w:cs="Helvetica"/>
          <w:sz w:val="22"/>
          <w:szCs w:val="22"/>
        </w:rPr>
        <w:t>16 :</w:t>
      </w:r>
      <w:proofErr w:type="gramEnd"/>
    </w:p>
    <w:p w14:paraId="40F895CC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 xml:space="preserve">“§ 16 - A Nota Fiscal Eletrônica do Gás - </w:t>
      </w:r>
      <w:proofErr w:type="spellStart"/>
      <w:r w:rsidRPr="00196E85">
        <w:rPr>
          <w:rFonts w:ascii="Helvetica" w:hAnsi="Helvetica" w:cs="Helvetica"/>
          <w:sz w:val="22"/>
          <w:szCs w:val="22"/>
        </w:rPr>
        <w:t>NFGas</w:t>
      </w:r>
      <w:proofErr w:type="spellEnd"/>
      <w:r w:rsidRPr="00196E85">
        <w:rPr>
          <w:rFonts w:ascii="Helvetica" w:hAnsi="Helvetica" w:cs="Helvetica"/>
          <w:sz w:val="22"/>
          <w:szCs w:val="22"/>
        </w:rPr>
        <w:t>, modelo 76, de que trata o inciso XVII, deverá ser emitida com observância dos termos e condições estabelecidos em disciplina da Secretaria da Fazenda e Planejamento, inclusive quanto à sua obrigatoriedade.​”. </w:t>
      </w:r>
    </w:p>
    <w:p w14:paraId="1B9777E5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3º - Fica revogado, a partir de 1º de janeiro de 2027, o inciso IX do “caput” do artigo 212-O do Regulamento do Imposto sobre Operações Relativas à Circulação de Mercadorias e sobre Prestações de Serviços de Transporte Interestadual e Intermunicipal e de Comunicação - RICMS, aprovado pelo Decreto nº 45.490, de 30 de novembro de 2000.</w:t>
      </w:r>
    </w:p>
    <w:p w14:paraId="1CDF5C4B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Artigo 4º - Este decreto entra em vigor na data de sua publicação.</w:t>
      </w:r>
    </w:p>
    <w:p w14:paraId="3FE46364" w14:textId="77777777" w:rsidR="00075789" w:rsidRPr="00196E85" w:rsidRDefault="00075789" w:rsidP="0007578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96E85">
        <w:rPr>
          <w:rFonts w:ascii="Helvetica" w:hAnsi="Helvetica" w:cs="Helvetica"/>
          <w:sz w:val="22"/>
          <w:szCs w:val="22"/>
        </w:rPr>
        <w:t>TARCÍSIO DE FREITAS</w:t>
      </w:r>
    </w:p>
    <w:sectPr w:rsidR="00075789" w:rsidRPr="00196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89"/>
    <w:rsid w:val="00075789"/>
    <w:rsid w:val="006E249C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038C"/>
  <w15:chartTrackingRefBased/>
  <w15:docId w15:val="{53A6ADFA-A079-4A1B-8BA7-EDEC535E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89"/>
  </w:style>
  <w:style w:type="paragraph" w:styleId="Ttulo1">
    <w:name w:val="heading 1"/>
    <w:basedOn w:val="Normal"/>
    <w:next w:val="Normal"/>
    <w:link w:val="Ttulo1Char"/>
    <w:uiPriority w:val="9"/>
    <w:qFormat/>
    <w:rsid w:val="00075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5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5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5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5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5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5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5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5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57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57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57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57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57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57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5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5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5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5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5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57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57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57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5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57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57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2026-05-14T13:21:00Z</dcterms:created>
  <dcterms:modified xsi:type="dcterms:W3CDTF">2026-05-14T13:21:00Z</dcterms:modified>
</cp:coreProperties>
</file>