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8B69" w14:textId="5ECAEEF0" w:rsidR="00CB2B4A" w:rsidRDefault="00CB2B4A" w:rsidP="00CB2B4A">
      <w:pPr>
        <w:jc w:val="center"/>
        <w:rPr>
          <w:rFonts w:cs="Helvetica"/>
          <w:b/>
          <w:bCs/>
        </w:rPr>
      </w:pPr>
      <w:r w:rsidRPr="00CB2B4A">
        <w:rPr>
          <w:rFonts w:cs="Helvetica"/>
          <w:b/>
          <w:bCs/>
        </w:rPr>
        <w:t>DECRETO Nº 66.436, DE 13 DE JANEIRO DE 2022</w:t>
      </w:r>
    </w:p>
    <w:p w14:paraId="2A3D67C6" w14:textId="77777777" w:rsidR="00CB2B4A" w:rsidRPr="00CB2B4A" w:rsidRDefault="00CB2B4A" w:rsidP="00CB2B4A">
      <w:pPr>
        <w:jc w:val="center"/>
        <w:rPr>
          <w:rFonts w:cs="Helvetica"/>
          <w:b/>
          <w:bCs/>
        </w:rPr>
      </w:pPr>
    </w:p>
    <w:p w14:paraId="5FDA2BC3" w14:textId="10C2D0B4" w:rsidR="00CB2B4A" w:rsidRDefault="00CB2B4A" w:rsidP="00CB2B4A">
      <w:pPr>
        <w:spacing w:before="60" w:after="60" w:line="240" w:lineRule="auto"/>
        <w:ind w:left="3686"/>
        <w:jc w:val="both"/>
        <w:rPr>
          <w:rFonts w:cs="Helvetica"/>
        </w:rPr>
      </w:pPr>
      <w:r w:rsidRPr="00CB2B4A">
        <w:rPr>
          <w:rFonts w:cs="Helvetica"/>
        </w:rPr>
        <w:t>Estabelece normas para a execução orçamentária e financeira do exercício de 2022, e dá providências correlatas</w:t>
      </w:r>
    </w:p>
    <w:p w14:paraId="1CCD3E98" w14:textId="77777777" w:rsidR="00CB2B4A" w:rsidRPr="00CB2B4A" w:rsidRDefault="00CB2B4A" w:rsidP="00CB2B4A">
      <w:pPr>
        <w:spacing w:before="60" w:after="60" w:line="240" w:lineRule="auto"/>
        <w:ind w:firstLine="1418"/>
        <w:jc w:val="both"/>
        <w:rPr>
          <w:rFonts w:cs="Helvetica"/>
        </w:rPr>
      </w:pPr>
    </w:p>
    <w:p w14:paraId="4FCDB1FA" w14:textId="53859D7A" w:rsidR="00CB2B4A" w:rsidRPr="00CB2B4A" w:rsidRDefault="00CB2B4A" w:rsidP="00CB2B4A">
      <w:pPr>
        <w:spacing w:before="60" w:after="60" w:line="240" w:lineRule="auto"/>
        <w:ind w:firstLine="1418"/>
        <w:jc w:val="both"/>
        <w:rPr>
          <w:rFonts w:cs="Helvetica"/>
        </w:rPr>
      </w:pPr>
      <w:r w:rsidRPr="00CB2B4A">
        <w:rPr>
          <w:rFonts w:cs="Helvetica"/>
        </w:rPr>
        <w:t>JOÃO DORIA, GOVERNADOR DO ESTADO DE SÃO PAULO, no uso de suas atribuições legais,</w:t>
      </w:r>
    </w:p>
    <w:p w14:paraId="2131B15E" w14:textId="77777777" w:rsidR="00CB2B4A" w:rsidRPr="00CB2B4A" w:rsidRDefault="00CB2B4A" w:rsidP="00CB2B4A">
      <w:pPr>
        <w:spacing w:before="60" w:after="60" w:line="240" w:lineRule="auto"/>
        <w:ind w:firstLine="1418"/>
        <w:jc w:val="both"/>
        <w:rPr>
          <w:rFonts w:cs="Helvetica"/>
        </w:rPr>
      </w:pPr>
      <w:r w:rsidRPr="00CB2B4A">
        <w:rPr>
          <w:rFonts w:cs="Helvetica"/>
        </w:rPr>
        <w:t>Considerando os ordenamentos estabelecidos na Constituição do Estado; as disposições da legislação orçamentária e financeira vigentes; as normas gerais de direito financeiro contidas na Lei federal nº 4.320, de 17 de março de 1964; as normas de finanças públicas fixadas na Lei Complementar federal nº 101, de 4 de maio de 2000, na Lei n° 17.387, de 22 de julho de 2021, que dispõe sobre as diretrizes orçamentárias para o exercício de 2022 (Lei de Diretrizes Orçamentárias) e na Lei nº 17.498, de 29 de dezembro de 2021, que orça a receita e fixa a despesa do Estado para o exercício de 2022 (Lei Orçamentária Anual);</w:t>
      </w:r>
    </w:p>
    <w:p w14:paraId="0A6E2C0F" w14:textId="77777777" w:rsidR="00CB2B4A" w:rsidRPr="00CB2B4A" w:rsidRDefault="00CB2B4A" w:rsidP="00CB2B4A">
      <w:pPr>
        <w:spacing w:before="60" w:after="60" w:line="240" w:lineRule="auto"/>
        <w:ind w:firstLine="1418"/>
        <w:jc w:val="both"/>
        <w:rPr>
          <w:rFonts w:cs="Helvetica"/>
        </w:rPr>
      </w:pPr>
      <w:r w:rsidRPr="00CB2B4A">
        <w:rPr>
          <w:rFonts w:cs="Helvetica"/>
        </w:rPr>
        <w:t>Considerando o imperativo legal de assegurar na execução orçamentária o princípio do equilíbrio entre despesas e receitas, estabelecido pela Lei nº 17.498, de 29 de dezembro de 2021, com a adoção de procedimentos que ajustem a realização do gasto ao comportamento efetivo da arrecadação, a fim de resguardar a estabilidade financeira do Tesouro do Estado;</w:t>
      </w:r>
    </w:p>
    <w:p w14:paraId="3F9CE4CF" w14:textId="77777777" w:rsidR="00CB2B4A" w:rsidRPr="00CB2B4A" w:rsidRDefault="00CB2B4A" w:rsidP="00CB2B4A">
      <w:pPr>
        <w:spacing w:before="60" w:after="60" w:line="240" w:lineRule="auto"/>
        <w:ind w:firstLine="1418"/>
        <w:jc w:val="both"/>
        <w:rPr>
          <w:rFonts w:cs="Helvetica"/>
        </w:rPr>
      </w:pPr>
      <w:r w:rsidRPr="00CB2B4A">
        <w:rPr>
          <w:rFonts w:cs="Helvetica"/>
        </w:rPr>
        <w:t>Considerando o firme propósito de cumprir as metas fiscais estabelecidas para o exercício e, ao mesmo tempo, dar efetividade à realização do programa de Governo e eficiência ao uso dos recursos, e que, para tanto, faz-se necessário adotar critérios seletivos na realização das despesas públicas,</w:t>
      </w:r>
    </w:p>
    <w:p w14:paraId="0102BD3C" w14:textId="77777777" w:rsidR="00CB2B4A" w:rsidRPr="00CB2B4A" w:rsidRDefault="00CB2B4A" w:rsidP="00CB2B4A">
      <w:pPr>
        <w:spacing w:before="60" w:after="60" w:line="240" w:lineRule="auto"/>
        <w:ind w:firstLine="1418"/>
        <w:jc w:val="both"/>
        <w:rPr>
          <w:rFonts w:cs="Helvetica"/>
        </w:rPr>
      </w:pPr>
      <w:r w:rsidRPr="00CB2B4A">
        <w:rPr>
          <w:rFonts w:cs="Helvetica"/>
        </w:rPr>
        <w:t>Decreta:</w:t>
      </w:r>
    </w:p>
    <w:p w14:paraId="612246B7" w14:textId="77777777" w:rsidR="00CB2B4A" w:rsidRPr="00CB2B4A" w:rsidRDefault="00CB2B4A" w:rsidP="00CB2B4A">
      <w:pPr>
        <w:spacing w:before="60" w:after="60" w:line="240" w:lineRule="auto"/>
        <w:ind w:firstLine="1418"/>
        <w:jc w:val="both"/>
        <w:rPr>
          <w:rFonts w:cs="Helvetica"/>
        </w:rPr>
      </w:pPr>
      <w:r w:rsidRPr="00CB2B4A">
        <w:rPr>
          <w:rFonts w:cs="Helvetica"/>
        </w:rPr>
        <w:t>Artigo 1º - O processo de execução do Orçamento do Estado de São Paulo, aprovado pela Lei nº 17.498, de 29 de dezembro de 2021, observará as normas deste decreto e será obrigatoriamente realizado, em tempo real, no Sistema Integrado de Administração Financeira para Estados e Municípios - SIAFEM/SP com o registro de todos os atos relativos à movimentação orçamentária, financeira, patrimonial e contábil.</w:t>
      </w:r>
    </w:p>
    <w:p w14:paraId="7AFFC2DA" w14:textId="77777777" w:rsidR="00CB2B4A" w:rsidRPr="00CB2B4A" w:rsidRDefault="00CB2B4A" w:rsidP="00CB2B4A">
      <w:pPr>
        <w:spacing w:before="60" w:after="60" w:line="240" w:lineRule="auto"/>
        <w:ind w:firstLine="1418"/>
        <w:jc w:val="both"/>
        <w:rPr>
          <w:rFonts w:cs="Helvetica"/>
        </w:rPr>
      </w:pPr>
      <w:r w:rsidRPr="00CB2B4A">
        <w:rPr>
          <w:rFonts w:cs="Helvetica"/>
        </w:rPr>
        <w:t>Artigo 2º - As normas estabelecidas neste decreto aplicam-se aos órgãos da Administração direta, às autarquias, às fundações, aos Fundos Especiais, aos Fundos Especiais de Despesa, aos Fundos Especiais de Financiamento e Investimento e às sociedades de economia mista, classificadas como dependentes de acordo com o conceito estabelecido pelo inciso III do artigo 2º da Lei Complementar federal nº 101, de 4 de maio de 2000, e, no que couber, às demais sociedades em que o Estado detenha, direta ou indiretamente, a maioria do capital social com direito a voto.</w:t>
      </w:r>
    </w:p>
    <w:p w14:paraId="40E331D6" w14:textId="77777777" w:rsidR="00CB2B4A" w:rsidRPr="00CB2B4A" w:rsidRDefault="00CB2B4A" w:rsidP="00CB2B4A">
      <w:pPr>
        <w:spacing w:before="60" w:after="60" w:line="240" w:lineRule="auto"/>
        <w:ind w:firstLine="1418"/>
        <w:jc w:val="both"/>
        <w:rPr>
          <w:rFonts w:cs="Helvetica"/>
        </w:rPr>
      </w:pPr>
      <w:r w:rsidRPr="00CB2B4A">
        <w:rPr>
          <w:rFonts w:cs="Helvetica"/>
        </w:rPr>
        <w:t>Parágrafo único - A Fundação de Previdência Complementar do Estado de São Paulo - SP-PREVCOM manterá, em sistemas próprios, os registros dos demonstrativos contábeis, atuariais, financeiros e de benefícios para cumprir disposto no parágrafo único do artigo 4º da Lei nº 14.653, de 22 de dezembro de 2011, que institui o regime de previdência complementar no Estado de São Paulo, ficando dispensada de atender ao "caput" deste artigo.</w:t>
      </w:r>
    </w:p>
    <w:p w14:paraId="66FBB655" w14:textId="77777777" w:rsidR="00CB2B4A" w:rsidRPr="00CB2B4A" w:rsidRDefault="00CB2B4A" w:rsidP="00CB2B4A">
      <w:pPr>
        <w:spacing w:before="60" w:after="60" w:line="240" w:lineRule="auto"/>
        <w:ind w:firstLine="1418"/>
        <w:jc w:val="both"/>
        <w:rPr>
          <w:rFonts w:cs="Helvetica"/>
        </w:rPr>
      </w:pPr>
      <w:r w:rsidRPr="00CB2B4A">
        <w:rPr>
          <w:rFonts w:cs="Helvetica"/>
        </w:rPr>
        <w:t>CAPÍTULO I</w:t>
      </w:r>
    </w:p>
    <w:p w14:paraId="618EC1AE" w14:textId="77777777" w:rsidR="00CB2B4A" w:rsidRPr="00CB2B4A" w:rsidRDefault="00CB2B4A" w:rsidP="00CB2B4A">
      <w:pPr>
        <w:spacing w:before="60" w:after="60" w:line="240" w:lineRule="auto"/>
        <w:ind w:firstLine="1418"/>
        <w:jc w:val="both"/>
        <w:rPr>
          <w:rFonts w:cs="Helvetica"/>
        </w:rPr>
      </w:pPr>
      <w:r w:rsidRPr="00CB2B4A">
        <w:rPr>
          <w:rFonts w:cs="Helvetica"/>
        </w:rPr>
        <w:t>Do Processo de Execução</w:t>
      </w:r>
    </w:p>
    <w:p w14:paraId="3CA91225" w14:textId="77777777" w:rsidR="00CB2B4A" w:rsidRPr="00CB2B4A" w:rsidRDefault="00CB2B4A" w:rsidP="00CB2B4A">
      <w:pPr>
        <w:spacing w:before="60" w:after="60" w:line="240" w:lineRule="auto"/>
        <w:ind w:firstLine="1418"/>
        <w:jc w:val="both"/>
        <w:rPr>
          <w:rFonts w:cs="Helvetica"/>
        </w:rPr>
      </w:pPr>
      <w:r w:rsidRPr="00CB2B4A">
        <w:rPr>
          <w:rFonts w:cs="Helvetica"/>
        </w:rPr>
        <w:lastRenderedPageBreak/>
        <w:t>SEÇÃO I</w:t>
      </w:r>
    </w:p>
    <w:p w14:paraId="3D29D86E" w14:textId="77777777" w:rsidR="00CB2B4A" w:rsidRPr="00CB2B4A" w:rsidRDefault="00CB2B4A" w:rsidP="00CB2B4A">
      <w:pPr>
        <w:spacing w:before="60" w:after="60" w:line="240" w:lineRule="auto"/>
        <w:ind w:firstLine="1418"/>
        <w:jc w:val="both"/>
        <w:rPr>
          <w:rFonts w:cs="Helvetica"/>
        </w:rPr>
      </w:pPr>
      <w:r w:rsidRPr="00CB2B4A">
        <w:rPr>
          <w:rFonts w:cs="Helvetica"/>
        </w:rPr>
        <w:t>Disposições Preliminares</w:t>
      </w:r>
    </w:p>
    <w:p w14:paraId="0960B647" w14:textId="77777777" w:rsidR="00CB2B4A" w:rsidRPr="00CB2B4A" w:rsidRDefault="00CB2B4A" w:rsidP="00CB2B4A">
      <w:pPr>
        <w:spacing w:before="60" w:after="60" w:line="240" w:lineRule="auto"/>
        <w:ind w:firstLine="1418"/>
        <w:jc w:val="both"/>
        <w:rPr>
          <w:rFonts w:cs="Helvetica"/>
        </w:rPr>
      </w:pPr>
      <w:r w:rsidRPr="00CB2B4A">
        <w:rPr>
          <w:rFonts w:cs="Helvetica"/>
        </w:rPr>
        <w:t>Artigo 3º - A gestão dos recursos orçamentários e financeiros far-se-á através das seguintes unidades:</w:t>
      </w:r>
    </w:p>
    <w:p w14:paraId="5E3D6BC0" w14:textId="77777777" w:rsidR="00CB2B4A" w:rsidRPr="00CB2B4A" w:rsidRDefault="00CB2B4A" w:rsidP="00CB2B4A">
      <w:pPr>
        <w:spacing w:before="60" w:after="60" w:line="240" w:lineRule="auto"/>
        <w:ind w:firstLine="1418"/>
        <w:jc w:val="both"/>
        <w:rPr>
          <w:rFonts w:cs="Helvetica"/>
        </w:rPr>
      </w:pPr>
      <w:r w:rsidRPr="00CB2B4A">
        <w:rPr>
          <w:rFonts w:cs="Helvetica"/>
        </w:rPr>
        <w:t>I - Unidade Gestora Orçamentária - UGO, unidade gerenciadora e controladora das dotações de cada Unidade Orçamentária, que centraliza todas as operações de natureza orçamentária, dentre as quais, a distribuição de recursos às Unidades Gestoras Executoras e aos Fundos Especiais, Fundos Especiais de Despesa e Fundos Especiais de Financiamento e Investimento;</w:t>
      </w:r>
    </w:p>
    <w:p w14:paraId="755B9A29" w14:textId="77777777" w:rsidR="00CB2B4A" w:rsidRPr="00CB2B4A" w:rsidRDefault="00CB2B4A" w:rsidP="00CB2B4A">
      <w:pPr>
        <w:spacing w:before="60" w:after="60" w:line="240" w:lineRule="auto"/>
        <w:ind w:firstLine="1418"/>
        <w:jc w:val="both"/>
        <w:rPr>
          <w:rFonts w:cs="Helvetica"/>
        </w:rPr>
      </w:pPr>
      <w:r w:rsidRPr="00CB2B4A">
        <w:rPr>
          <w:rFonts w:cs="Helvetica"/>
        </w:rPr>
        <w:t>II - Unidade Gestora Financeira - UGF, unidade responsável pela gestão e controle dos recursos financeiros, que centraliza as operações e transações bancárias;</w:t>
      </w:r>
    </w:p>
    <w:p w14:paraId="563608EF" w14:textId="77777777" w:rsidR="00CB2B4A" w:rsidRPr="00CB2B4A" w:rsidRDefault="00CB2B4A" w:rsidP="00CB2B4A">
      <w:pPr>
        <w:spacing w:before="60" w:after="60" w:line="240" w:lineRule="auto"/>
        <w:ind w:firstLine="1418"/>
        <w:jc w:val="both"/>
        <w:rPr>
          <w:rFonts w:cs="Helvetica"/>
        </w:rPr>
      </w:pPr>
      <w:r w:rsidRPr="00CB2B4A">
        <w:rPr>
          <w:rFonts w:cs="Helvetica"/>
        </w:rPr>
        <w:t>III - Unidade Gestora Executora - UGE, unidade administrativa codificada no SIAFEM/SP, integrante da estrutura dos órgãos da Administração direta, das autarquias, das fundações e das sociedades de economia mista classificadas como dependentes, incumbida da execução orçamentária e financeira da despesa.</w:t>
      </w:r>
    </w:p>
    <w:p w14:paraId="7201A458" w14:textId="77777777" w:rsidR="00CB2B4A" w:rsidRPr="00CB2B4A" w:rsidRDefault="00CB2B4A" w:rsidP="00CB2B4A">
      <w:pPr>
        <w:spacing w:before="60" w:after="60" w:line="240" w:lineRule="auto"/>
        <w:ind w:firstLine="1418"/>
        <w:jc w:val="both"/>
        <w:rPr>
          <w:rFonts w:cs="Helvetica"/>
        </w:rPr>
      </w:pPr>
      <w:r w:rsidRPr="00CB2B4A">
        <w:rPr>
          <w:rFonts w:cs="Helvetica"/>
        </w:rPr>
        <w:t>§ 1º - Toda Unidade de Despesa constitui uma Unidade Gestora Executora.</w:t>
      </w:r>
    </w:p>
    <w:p w14:paraId="440AB6E9" w14:textId="77777777" w:rsidR="00CB2B4A" w:rsidRPr="00CB2B4A" w:rsidRDefault="00CB2B4A" w:rsidP="00CB2B4A">
      <w:pPr>
        <w:spacing w:before="60" w:after="60" w:line="240" w:lineRule="auto"/>
        <w:ind w:firstLine="1418"/>
        <w:jc w:val="both"/>
        <w:rPr>
          <w:rFonts w:cs="Helvetica"/>
        </w:rPr>
      </w:pPr>
      <w:r w:rsidRPr="00CB2B4A">
        <w:rPr>
          <w:rFonts w:cs="Helvetica"/>
        </w:rPr>
        <w:t>§ 2º - Nas autarquias, fundações e sociedades de economia mista, classificadas como dependentes, a gestão orçamentária e financeira será única, abrangendo as atribuições da Unidade Gestora Financeira e da Unidade Gestora Orçamentária, podendo ser desdobrada em Unidades Gestoras Executoras, com as atribuições definidas no inciso III deste artigo, visando à descentralização e à racionalização na aplicação dos recursos orçamentários.</w:t>
      </w:r>
    </w:p>
    <w:p w14:paraId="6A17D4B2" w14:textId="77777777" w:rsidR="00CB2B4A" w:rsidRPr="00CB2B4A" w:rsidRDefault="00CB2B4A" w:rsidP="00CB2B4A">
      <w:pPr>
        <w:spacing w:before="60" w:after="60" w:line="240" w:lineRule="auto"/>
        <w:ind w:firstLine="1418"/>
        <w:jc w:val="both"/>
        <w:rPr>
          <w:rFonts w:cs="Helvetica"/>
        </w:rPr>
      </w:pPr>
      <w:r w:rsidRPr="00CB2B4A">
        <w:rPr>
          <w:rFonts w:cs="Helvetica"/>
        </w:rPr>
        <w:t>§ 3º - Para efeito de operacionalização no SIAFEM/SP, os Fundos Especiais, os Fundos Especiais de Despesa e os Fundos Especiais de Financiamento e Investimento, são, concomitantemente, Unidades Gestoras Financeiras e Unidades Gestoras Executoras.</w:t>
      </w:r>
    </w:p>
    <w:p w14:paraId="2F479884" w14:textId="77777777" w:rsidR="00CB2B4A" w:rsidRPr="00CB2B4A" w:rsidRDefault="00CB2B4A" w:rsidP="00CB2B4A">
      <w:pPr>
        <w:spacing w:before="60" w:after="60" w:line="240" w:lineRule="auto"/>
        <w:ind w:firstLine="1418"/>
        <w:jc w:val="both"/>
        <w:rPr>
          <w:rFonts w:cs="Helvetica"/>
        </w:rPr>
      </w:pPr>
      <w:r w:rsidRPr="00CB2B4A">
        <w:rPr>
          <w:rFonts w:cs="Helvetica"/>
        </w:rPr>
        <w:t>Artigo 4º - Os recursos orçamentários destinados ao financiamento das ações e serviços públicos de saúde previstos na Lei Orçamentária Anual e alocados na unidade orçamentária Fundo Estadual de Saúde - FUNDES, da Secretaria da Saúde, na forma autorizada pela Lei de Diretrizes Orçamentárias, serão executados:</w:t>
      </w:r>
    </w:p>
    <w:p w14:paraId="68B2D059" w14:textId="77777777" w:rsidR="00CB2B4A" w:rsidRPr="00CB2B4A" w:rsidRDefault="00CB2B4A" w:rsidP="00CB2B4A">
      <w:pPr>
        <w:spacing w:before="60" w:after="60" w:line="240" w:lineRule="auto"/>
        <w:ind w:firstLine="1418"/>
        <w:jc w:val="both"/>
        <w:rPr>
          <w:rFonts w:cs="Helvetica"/>
        </w:rPr>
      </w:pPr>
      <w:r w:rsidRPr="00CB2B4A">
        <w:rPr>
          <w:rFonts w:cs="Helvetica"/>
        </w:rPr>
        <w:t>I - pelas unidades orçamentárias da Administração direta da Secretaria da Saúde, conforme programação detalhada em anexo específico da Lei Orçamentária Anual, cabendo à unidade orçamentária: Fundo Estadual de Saúde, na qualidade de unidade orçamentária gestora, providenciar as transferências das correspondentes dotações, obedecida a distribuição por fonte e grupo de despesa;</w:t>
      </w:r>
    </w:p>
    <w:p w14:paraId="2EEFE2B7" w14:textId="77777777" w:rsidR="00CB2B4A" w:rsidRPr="00CB2B4A" w:rsidRDefault="00CB2B4A" w:rsidP="00CB2B4A">
      <w:pPr>
        <w:spacing w:before="60" w:after="60" w:line="240" w:lineRule="auto"/>
        <w:ind w:firstLine="1418"/>
        <w:jc w:val="both"/>
        <w:rPr>
          <w:rFonts w:cs="Helvetica"/>
        </w:rPr>
      </w:pPr>
      <w:r w:rsidRPr="00CB2B4A">
        <w:rPr>
          <w:rFonts w:cs="Helvetica"/>
        </w:rPr>
        <w:t>II - pelas unidades orçamentárias da Administração direta e indireta, não vinculadas institucionalmente à Secretaria da Saúde e que realizem ações de saúde, cabendo à unidade orçamentária: Fundo Estadual de Saúde providenciar as transferências das correspondentes dotações por meio da modalidade de aplicação intraorçamentária, obedecida a distribuição por fonte e grupo de despesa.</w:t>
      </w:r>
    </w:p>
    <w:p w14:paraId="43D94E09" w14:textId="77777777" w:rsidR="00CB2B4A" w:rsidRPr="00CB2B4A" w:rsidRDefault="00CB2B4A" w:rsidP="00CB2B4A">
      <w:pPr>
        <w:spacing w:before="60" w:after="60" w:line="240" w:lineRule="auto"/>
        <w:ind w:firstLine="1418"/>
        <w:jc w:val="both"/>
        <w:rPr>
          <w:rFonts w:cs="Helvetica"/>
        </w:rPr>
      </w:pPr>
      <w:r w:rsidRPr="00CB2B4A">
        <w:rPr>
          <w:rFonts w:cs="Helvetica"/>
        </w:rPr>
        <w:t>SEÇÃO II</w:t>
      </w:r>
    </w:p>
    <w:p w14:paraId="02939B05" w14:textId="77777777" w:rsidR="00CB2B4A" w:rsidRPr="00CB2B4A" w:rsidRDefault="00CB2B4A" w:rsidP="00CB2B4A">
      <w:pPr>
        <w:spacing w:before="60" w:after="60" w:line="240" w:lineRule="auto"/>
        <w:ind w:firstLine="1418"/>
        <w:jc w:val="both"/>
        <w:rPr>
          <w:rFonts w:cs="Helvetica"/>
        </w:rPr>
      </w:pPr>
      <w:r w:rsidRPr="00CB2B4A">
        <w:rPr>
          <w:rFonts w:cs="Helvetica"/>
        </w:rPr>
        <w:t>Da Discriminação Detalhada da Receita</w:t>
      </w:r>
    </w:p>
    <w:p w14:paraId="73AEC9EF" w14:textId="77777777" w:rsidR="00CB2B4A" w:rsidRPr="00CB2B4A" w:rsidRDefault="00CB2B4A" w:rsidP="00CB2B4A">
      <w:pPr>
        <w:spacing w:before="60" w:after="60" w:line="240" w:lineRule="auto"/>
        <w:ind w:firstLine="1418"/>
        <w:jc w:val="both"/>
        <w:rPr>
          <w:rFonts w:cs="Helvetica"/>
        </w:rPr>
      </w:pPr>
      <w:r w:rsidRPr="00CB2B4A">
        <w:rPr>
          <w:rFonts w:cs="Helvetica"/>
        </w:rPr>
        <w:t>Artigo 5º - A discriminação da receita é a constante na Lei nº 17.498, de 29 de dezembro de 2021, e seu detalhamento será editado pela Secretaria da Fazenda e Planejamento.</w:t>
      </w:r>
    </w:p>
    <w:p w14:paraId="1385BBBB" w14:textId="77777777" w:rsidR="00CB2B4A" w:rsidRPr="00CB2B4A" w:rsidRDefault="00CB2B4A" w:rsidP="00CB2B4A">
      <w:pPr>
        <w:spacing w:before="60" w:after="60" w:line="240" w:lineRule="auto"/>
        <w:ind w:firstLine="1418"/>
        <w:jc w:val="both"/>
        <w:rPr>
          <w:rFonts w:cs="Helvetica"/>
        </w:rPr>
      </w:pPr>
      <w:r w:rsidRPr="00CB2B4A">
        <w:rPr>
          <w:rFonts w:cs="Helvetica"/>
        </w:rPr>
        <w:t>SEÇÃO III</w:t>
      </w:r>
    </w:p>
    <w:p w14:paraId="0C7FC0B1" w14:textId="77777777" w:rsidR="00CB2B4A" w:rsidRPr="00CB2B4A" w:rsidRDefault="00CB2B4A" w:rsidP="00CB2B4A">
      <w:pPr>
        <w:spacing w:before="60" w:after="60" w:line="240" w:lineRule="auto"/>
        <w:ind w:firstLine="1418"/>
        <w:jc w:val="both"/>
        <w:rPr>
          <w:rFonts w:cs="Helvetica"/>
        </w:rPr>
      </w:pPr>
      <w:r w:rsidRPr="00CB2B4A">
        <w:rPr>
          <w:rFonts w:cs="Helvetica"/>
        </w:rPr>
        <w:t>Da Distribuição das Dotações Orçamentárias</w:t>
      </w:r>
    </w:p>
    <w:p w14:paraId="1C0FEBEB" w14:textId="77777777" w:rsidR="00CB2B4A" w:rsidRPr="00CB2B4A" w:rsidRDefault="00CB2B4A" w:rsidP="00CB2B4A">
      <w:pPr>
        <w:spacing w:before="60" w:after="60" w:line="240" w:lineRule="auto"/>
        <w:ind w:firstLine="1418"/>
        <w:jc w:val="both"/>
        <w:rPr>
          <w:rFonts w:cs="Helvetica"/>
        </w:rPr>
      </w:pPr>
      <w:r w:rsidRPr="00CB2B4A">
        <w:rPr>
          <w:rFonts w:cs="Helvetica"/>
        </w:rPr>
        <w:lastRenderedPageBreak/>
        <w:t>Artigo 6º - A distribuição das dotações orçamentárias aprovadas pela Lei nº 17.498, de 29 de dezembro de 2021, será automaticamente disponibilizada no SIAFEM/SP, observado o seguinte detalhamento:</w:t>
      </w:r>
    </w:p>
    <w:p w14:paraId="29DA50E4" w14:textId="77777777" w:rsidR="00CB2B4A" w:rsidRPr="00CB2B4A" w:rsidRDefault="00CB2B4A" w:rsidP="00CB2B4A">
      <w:pPr>
        <w:spacing w:before="60" w:after="60" w:line="240" w:lineRule="auto"/>
        <w:ind w:firstLine="1418"/>
        <w:jc w:val="both"/>
        <w:rPr>
          <w:rFonts w:cs="Helvetica"/>
        </w:rPr>
      </w:pPr>
      <w:r w:rsidRPr="00CB2B4A">
        <w:rPr>
          <w:rFonts w:cs="Helvetica"/>
        </w:rPr>
        <w:t>I - classificação institucional por Órgão e Unidade Orçamentária;</w:t>
      </w:r>
    </w:p>
    <w:p w14:paraId="375E0F59" w14:textId="77777777" w:rsidR="00CB2B4A" w:rsidRPr="00CB2B4A" w:rsidRDefault="00CB2B4A" w:rsidP="00CB2B4A">
      <w:pPr>
        <w:spacing w:before="60" w:after="60" w:line="240" w:lineRule="auto"/>
        <w:ind w:firstLine="1418"/>
        <w:jc w:val="both"/>
        <w:rPr>
          <w:rFonts w:cs="Helvetica"/>
        </w:rPr>
      </w:pPr>
      <w:r w:rsidRPr="00CB2B4A">
        <w:rPr>
          <w:rFonts w:cs="Helvetica"/>
        </w:rPr>
        <w:t>II - classificação funcional por função e subfunção;</w:t>
      </w:r>
    </w:p>
    <w:p w14:paraId="2E7F9EFA" w14:textId="77777777" w:rsidR="00CB2B4A" w:rsidRPr="00CB2B4A" w:rsidRDefault="00CB2B4A" w:rsidP="00CB2B4A">
      <w:pPr>
        <w:spacing w:before="60" w:after="60" w:line="240" w:lineRule="auto"/>
        <w:ind w:firstLine="1418"/>
        <w:jc w:val="both"/>
        <w:rPr>
          <w:rFonts w:cs="Helvetica"/>
        </w:rPr>
      </w:pPr>
      <w:r w:rsidRPr="00CB2B4A">
        <w:rPr>
          <w:rFonts w:cs="Helvetica"/>
        </w:rPr>
        <w:t>III- estrutura programática, composta por programa, atividade e projeto;</w:t>
      </w:r>
    </w:p>
    <w:p w14:paraId="7102A7E5" w14:textId="77777777" w:rsidR="00CB2B4A" w:rsidRPr="00CB2B4A" w:rsidRDefault="00CB2B4A" w:rsidP="00CB2B4A">
      <w:pPr>
        <w:spacing w:before="60" w:after="60" w:line="240" w:lineRule="auto"/>
        <w:ind w:firstLine="1418"/>
        <w:jc w:val="both"/>
        <w:rPr>
          <w:rFonts w:cs="Helvetica"/>
        </w:rPr>
      </w:pPr>
      <w:r w:rsidRPr="00CB2B4A">
        <w:rPr>
          <w:rFonts w:cs="Helvetica"/>
        </w:rPr>
        <w:t>IV - classificação da despesa por natureza até o nível de elemento;</w:t>
      </w:r>
    </w:p>
    <w:p w14:paraId="0DEFFC8C" w14:textId="77777777" w:rsidR="00CB2B4A" w:rsidRPr="00CB2B4A" w:rsidRDefault="00CB2B4A" w:rsidP="00CB2B4A">
      <w:pPr>
        <w:spacing w:before="60" w:after="60" w:line="240" w:lineRule="auto"/>
        <w:ind w:firstLine="1418"/>
        <w:jc w:val="both"/>
        <w:rPr>
          <w:rFonts w:cs="Helvetica"/>
        </w:rPr>
      </w:pPr>
      <w:r w:rsidRPr="00CB2B4A">
        <w:rPr>
          <w:rFonts w:cs="Helvetica"/>
        </w:rPr>
        <w:t>V - fonte de recursos.</w:t>
      </w:r>
    </w:p>
    <w:p w14:paraId="4AB8402E" w14:textId="77777777" w:rsidR="00CB2B4A" w:rsidRPr="00CB2B4A" w:rsidRDefault="00CB2B4A" w:rsidP="00CB2B4A">
      <w:pPr>
        <w:spacing w:before="60" w:after="60" w:line="240" w:lineRule="auto"/>
        <w:ind w:firstLine="1418"/>
        <w:jc w:val="both"/>
        <w:rPr>
          <w:rFonts w:cs="Helvetica"/>
        </w:rPr>
      </w:pPr>
      <w:r w:rsidRPr="00CB2B4A">
        <w:rPr>
          <w:rFonts w:cs="Helvetica"/>
        </w:rPr>
        <w:t>Artigo 7º - As Unidades Gestoras Orçamentárias procederão à distribuição da dotação orçamentária para as respectivas Unidades Gestoras Executoras mediante Nota de Crédito.</w:t>
      </w:r>
    </w:p>
    <w:p w14:paraId="1982FCD4" w14:textId="77777777" w:rsidR="00CB2B4A" w:rsidRPr="00CB2B4A" w:rsidRDefault="00CB2B4A" w:rsidP="00CB2B4A">
      <w:pPr>
        <w:spacing w:before="60" w:after="60" w:line="240" w:lineRule="auto"/>
        <w:ind w:firstLine="1418"/>
        <w:jc w:val="both"/>
        <w:rPr>
          <w:rFonts w:cs="Helvetica"/>
        </w:rPr>
      </w:pPr>
      <w:r w:rsidRPr="00CB2B4A">
        <w:rPr>
          <w:rFonts w:cs="Helvetica"/>
        </w:rPr>
        <w:t>SEÇÃO IV</w:t>
      </w:r>
    </w:p>
    <w:p w14:paraId="512A1BDE" w14:textId="77777777" w:rsidR="00CB2B4A" w:rsidRPr="00CB2B4A" w:rsidRDefault="00CB2B4A" w:rsidP="00CB2B4A">
      <w:pPr>
        <w:spacing w:before="60" w:after="60" w:line="240" w:lineRule="auto"/>
        <w:ind w:firstLine="1418"/>
        <w:jc w:val="both"/>
        <w:rPr>
          <w:rFonts w:cs="Helvetica"/>
        </w:rPr>
      </w:pPr>
      <w:r w:rsidRPr="00CB2B4A">
        <w:rPr>
          <w:rFonts w:cs="Helvetica"/>
        </w:rPr>
        <w:t>Da Programação Orçamentária da Despesa do Estado</w:t>
      </w:r>
    </w:p>
    <w:p w14:paraId="577BFF18" w14:textId="77777777" w:rsidR="00CB2B4A" w:rsidRPr="00CB2B4A" w:rsidRDefault="00CB2B4A" w:rsidP="00CB2B4A">
      <w:pPr>
        <w:spacing w:before="60" w:after="60" w:line="240" w:lineRule="auto"/>
        <w:ind w:firstLine="1418"/>
        <w:jc w:val="both"/>
        <w:rPr>
          <w:rFonts w:cs="Helvetica"/>
        </w:rPr>
      </w:pPr>
      <w:r w:rsidRPr="00CB2B4A">
        <w:rPr>
          <w:rFonts w:cs="Helvetica"/>
        </w:rPr>
        <w:t>Artigo 8º - A Programação Orçamentária da Despesa do Estado é apresentada no Anexo deste decreto e reflete as dotações estabelecidas no orçamento aprovado pela Lei nº 17.498, de 29 de dezembro de 2021, distribuídas em quotas, sendo uma contingenciada e as demais, mensais, correspondendo aos limites orçamentários, compatibilizados com as projeções das disponibilidades para o exercício.</w:t>
      </w:r>
    </w:p>
    <w:p w14:paraId="4AF627B1" w14:textId="77777777" w:rsidR="00CB2B4A" w:rsidRPr="00CB2B4A" w:rsidRDefault="00CB2B4A" w:rsidP="00CB2B4A">
      <w:pPr>
        <w:spacing w:before="60" w:after="60" w:line="240" w:lineRule="auto"/>
        <w:ind w:firstLine="1418"/>
        <w:jc w:val="both"/>
        <w:rPr>
          <w:rFonts w:cs="Helvetica"/>
        </w:rPr>
      </w:pPr>
      <w:r w:rsidRPr="00CB2B4A">
        <w:rPr>
          <w:rFonts w:cs="Helvetica"/>
        </w:rPr>
        <w:t>§ 1º - A distribuição das dotações orçamentárias, por quotas, constantes do Anexo deste decreto, será automaticamente disponibilizada no SIA-FEM/SP com o seguinte detalhamento:</w:t>
      </w:r>
    </w:p>
    <w:p w14:paraId="605D8153" w14:textId="77777777" w:rsidR="00CB2B4A" w:rsidRPr="00CB2B4A" w:rsidRDefault="00CB2B4A" w:rsidP="00CB2B4A">
      <w:pPr>
        <w:spacing w:before="60" w:after="60" w:line="240" w:lineRule="auto"/>
        <w:ind w:firstLine="1418"/>
        <w:jc w:val="both"/>
        <w:rPr>
          <w:rFonts w:cs="Helvetica"/>
        </w:rPr>
      </w:pPr>
      <w:r w:rsidRPr="00CB2B4A">
        <w:rPr>
          <w:rFonts w:cs="Helvetica"/>
        </w:rPr>
        <w:t>1. classificação institucional por Unidade Orçamentária;</w:t>
      </w:r>
    </w:p>
    <w:p w14:paraId="7E3726B0" w14:textId="77777777" w:rsidR="00CB2B4A" w:rsidRPr="00CB2B4A" w:rsidRDefault="00CB2B4A" w:rsidP="00CB2B4A">
      <w:pPr>
        <w:spacing w:before="60" w:after="60" w:line="240" w:lineRule="auto"/>
        <w:ind w:firstLine="1418"/>
        <w:jc w:val="both"/>
        <w:rPr>
          <w:rFonts w:cs="Helvetica"/>
        </w:rPr>
      </w:pPr>
      <w:r w:rsidRPr="00CB2B4A">
        <w:rPr>
          <w:rFonts w:cs="Helvetica"/>
        </w:rPr>
        <w:t>2. classificação da despesa por natureza até o nível de grupo;</w:t>
      </w:r>
    </w:p>
    <w:p w14:paraId="24D43077" w14:textId="77777777" w:rsidR="00CB2B4A" w:rsidRPr="00CB2B4A" w:rsidRDefault="00CB2B4A" w:rsidP="00CB2B4A">
      <w:pPr>
        <w:spacing w:before="60" w:after="60" w:line="240" w:lineRule="auto"/>
        <w:ind w:firstLine="1418"/>
        <w:jc w:val="both"/>
        <w:rPr>
          <w:rFonts w:cs="Helvetica"/>
        </w:rPr>
      </w:pPr>
      <w:r w:rsidRPr="00CB2B4A">
        <w:rPr>
          <w:rFonts w:cs="Helvetica"/>
        </w:rPr>
        <w:t>3. fonte de recursos.</w:t>
      </w:r>
    </w:p>
    <w:p w14:paraId="7B5408E3" w14:textId="77777777" w:rsidR="00CB2B4A" w:rsidRPr="00CB2B4A" w:rsidRDefault="00CB2B4A" w:rsidP="00CB2B4A">
      <w:pPr>
        <w:spacing w:before="60" w:after="60" w:line="240" w:lineRule="auto"/>
        <w:ind w:firstLine="1418"/>
        <w:jc w:val="both"/>
        <w:rPr>
          <w:rFonts w:cs="Helvetica"/>
        </w:rPr>
      </w:pPr>
      <w:r w:rsidRPr="00CB2B4A">
        <w:rPr>
          <w:rFonts w:cs="Helvetica"/>
        </w:rPr>
        <w:t>§ 2º - A distribuição das quotas mensais das Unidades Gestoras Orçamentárias para as Unidades Gestoras Executoras será realizada mediante Nota de Lançamento.</w:t>
      </w:r>
    </w:p>
    <w:p w14:paraId="61E5ED7D" w14:textId="77777777" w:rsidR="00CB2B4A" w:rsidRPr="00CB2B4A" w:rsidRDefault="00CB2B4A" w:rsidP="00CB2B4A">
      <w:pPr>
        <w:spacing w:before="60" w:after="60" w:line="240" w:lineRule="auto"/>
        <w:ind w:firstLine="1418"/>
        <w:jc w:val="both"/>
        <w:rPr>
          <w:rFonts w:cs="Helvetica"/>
        </w:rPr>
      </w:pPr>
      <w:r w:rsidRPr="00CB2B4A">
        <w:rPr>
          <w:rFonts w:cs="Helvetica"/>
        </w:rPr>
        <w:t>Artigo 9º - Os recursos próprios de autarquias, fundações e sociedades de economia mista, classificadas como dependentes, os recursos vinculados e as dotações disponíveis às Universidades Estaduais e à Fundação de Amparo à Pesquisa do Estado de São Paulo - FAPESP, deverão obedecer à distribuição de 1/12 (um doze avos) em cada quota mensal.</w:t>
      </w:r>
    </w:p>
    <w:p w14:paraId="4CD4CC85" w14:textId="77777777" w:rsidR="00CB2B4A" w:rsidRPr="00CB2B4A" w:rsidRDefault="00CB2B4A" w:rsidP="00CB2B4A">
      <w:pPr>
        <w:spacing w:before="60" w:after="60" w:line="240" w:lineRule="auto"/>
        <w:ind w:firstLine="1418"/>
        <w:jc w:val="both"/>
        <w:rPr>
          <w:rFonts w:cs="Helvetica"/>
        </w:rPr>
      </w:pPr>
      <w:r w:rsidRPr="00CB2B4A">
        <w:rPr>
          <w:rFonts w:cs="Helvetica"/>
        </w:rPr>
        <w:t>Artigo 10 - O limite de empenhamento mensal dos recursos próprios e vinculados, fixado na Programação Orçamentária da Despesa do Estado, poderá ser automaticamente ampliado mediante antecipação de quotas vincendas, limitadas ao valor do excesso de arrecadação verificado mensalmente e ao total orçado para o exercício.</w:t>
      </w:r>
    </w:p>
    <w:p w14:paraId="1AB6EAAD" w14:textId="77777777" w:rsidR="00CB2B4A" w:rsidRPr="00CB2B4A" w:rsidRDefault="00CB2B4A" w:rsidP="00CB2B4A">
      <w:pPr>
        <w:spacing w:before="60" w:after="60" w:line="240" w:lineRule="auto"/>
        <w:ind w:firstLine="1418"/>
        <w:jc w:val="both"/>
        <w:rPr>
          <w:rFonts w:cs="Helvetica"/>
        </w:rPr>
      </w:pPr>
      <w:r w:rsidRPr="00CB2B4A">
        <w:rPr>
          <w:rFonts w:cs="Helvetica"/>
        </w:rPr>
        <w:t>SEÇÃO V</w:t>
      </w:r>
    </w:p>
    <w:p w14:paraId="7655B8F3" w14:textId="77777777" w:rsidR="00CB2B4A" w:rsidRPr="00CB2B4A" w:rsidRDefault="00CB2B4A" w:rsidP="00CB2B4A">
      <w:pPr>
        <w:spacing w:before="60" w:after="60" w:line="240" w:lineRule="auto"/>
        <w:ind w:firstLine="1418"/>
        <w:jc w:val="both"/>
        <w:rPr>
          <w:rFonts w:cs="Helvetica"/>
        </w:rPr>
      </w:pPr>
      <w:r w:rsidRPr="00CB2B4A">
        <w:rPr>
          <w:rFonts w:cs="Helvetica"/>
        </w:rPr>
        <w:t>Das Informações para Acompanhamento e Monitoramento</w:t>
      </w:r>
    </w:p>
    <w:p w14:paraId="51A534C4" w14:textId="77777777" w:rsidR="00CB2B4A" w:rsidRPr="00CB2B4A" w:rsidRDefault="00CB2B4A" w:rsidP="00CB2B4A">
      <w:pPr>
        <w:spacing w:before="60" w:after="60" w:line="240" w:lineRule="auto"/>
        <w:ind w:firstLine="1418"/>
        <w:jc w:val="both"/>
        <w:rPr>
          <w:rFonts w:cs="Helvetica"/>
        </w:rPr>
      </w:pPr>
      <w:r w:rsidRPr="00CB2B4A">
        <w:rPr>
          <w:rFonts w:cs="Helvetica"/>
        </w:rPr>
        <w:t>Artigo 11 - O acompanhamento dos produtos e ações aprovados na Lei Orçamentária de 2022, e modificações posteriores, bem como o registro dos resultados dos respectivos programas, serão efetuados no Sistema de Monitoramento do PPA - SimPPA.</w:t>
      </w:r>
    </w:p>
    <w:p w14:paraId="49E63206" w14:textId="77777777" w:rsidR="00CB2B4A" w:rsidRPr="00CB2B4A" w:rsidRDefault="00CB2B4A" w:rsidP="00CB2B4A">
      <w:pPr>
        <w:spacing w:before="60" w:after="60" w:line="240" w:lineRule="auto"/>
        <w:ind w:firstLine="1418"/>
        <w:jc w:val="both"/>
        <w:rPr>
          <w:rFonts w:cs="Helvetica"/>
        </w:rPr>
      </w:pPr>
      <w:r w:rsidRPr="00CB2B4A">
        <w:rPr>
          <w:rFonts w:cs="Helvetica"/>
        </w:rPr>
        <w:t>Parágrafo único - Os gestores setoriais se obrigam a prestar informações quanto aos resultados de seus programas e a manter devidamente atualizado o sistema referido no "caput" deste artigo, requisito obrigatório para solicitação de alterações orçamentárias.</w:t>
      </w:r>
    </w:p>
    <w:p w14:paraId="1F19DC76" w14:textId="77777777" w:rsidR="00CB2B4A" w:rsidRPr="00CB2B4A" w:rsidRDefault="00CB2B4A" w:rsidP="00CB2B4A">
      <w:pPr>
        <w:spacing w:before="60" w:after="60" w:line="240" w:lineRule="auto"/>
        <w:ind w:firstLine="1418"/>
        <w:jc w:val="both"/>
        <w:rPr>
          <w:rFonts w:cs="Helvetica"/>
        </w:rPr>
      </w:pPr>
      <w:r w:rsidRPr="00CB2B4A">
        <w:rPr>
          <w:rFonts w:cs="Helvetica"/>
        </w:rPr>
        <w:lastRenderedPageBreak/>
        <w:t>Artigo 12 - As sociedades de economia mista, classificadas como dependentes e as demais sociedades em que o Estado detenha, direta ou indiretamente, a maioria do capital social com direito a voto, deverão fornecer mensalmente à Secretaria de Orçamento e Gestão, as informações relativas à execução financeira, utilizando-se do Sistema Orçamentário das Empresas - SOE e do Sistema de Informações das Entidades Descentralizadas - SIEDESC, condição obrigatória para solicitação de alterações orçamentárias.</w:t>
      </w:r>
    </w:p>
    <w:p w14:paraId="3E2B4AE6" w14:textId="77777777" w:rsidR="00CB2B4A" w:rsidRPr="00CB2B4A" w:rsidRDefault="00CB2B4A" w:rsidP="00CB2B4A">
      <w:pPr>
        <w:spacing w:before="60" w:after="60" w:line="240" w:lineRule="auto"/>
        <w:ind w:firstLine="1418"/>
        <w:jc w:val="both"/>
        <w:rPr>
          <w:rFonts w:cs="Helvetica"/>
        </w:rPr>
      </w:pPr>
      <w:r w:rsidRPr="00CB2B4A">
        <w:rPr>
          <w:rFonts w:cs="Helvetica"/>
        </w:rPr>
        <w:t>SEÇÃO VI</w:t>
      </w:r>
    </w:p>
    <w:p w14:paraId="1DE51D98" w14:textId="77777777" w:rsidR="00CB2B4A" w:rsidRPr="00CB2B4A" w:rsidRDefault="00CB2B4A" w:rsidP="00CB2B4A">
      <w:pPr>
        <w:spacing w:before="60" w:after="60" w:line="240" w:lineRule="auto"/>
        <w:ind w:firstLine="1418"/>
        <w:jc w:val="both"/>
        <w:rPr>
          <w:rFonts w:cs="Helvetica"/>
        </w:rPr>
      </w:pPr>
      <w:r w:rsidRPr="00CB2B4A">
        <w:rPr>
          <w:rFonts w:cs="Helvetica"/>
        </w:rPr>
        <w:t>Das Alterações Orçamentárias</w:t>
      </w:r>
    </w:p>
    <w:p w14:paraId="79AD00FE" w14:textId="77777777" w:rsidR="00CB2B4A" w:rsidRPr="00CB2B4A" w:rsidRDefault="00CB2B4A" w:rsidP="00CB2B4A">
      <w:pPr>
        <w:spacing w:before="60" w:after="60" w:line="240" w:lineRule="auto"/>
        <w:ind w:firstLine="1418"/>
        <w:jc w:val="both"/>
        <w:rPr>
          <w:rFonts w:cs="Helvetica"/>
        </w:rPr>
      </w:pPr>
      <w:r w:rsidRPr="00CB2B4A">
        <w:rPr>
          <w:rFonts w:cs="Helvetica"/>
        </w:rPr>
        <w:t>Artigo 13 - As solicitações de alteração orçamentária e de alteração das quotas deverão ser formalizadas mediante a utilização do Sistema de Alteração Orçamentária - SAO, observadas as normas estabelecidas pelas Secretarias de Orçamento e Gestão, da Fazenda e Planejamento e de Governo.</w:t>
      </w:r>
    </w:p>
    <w:p w14:paraId="7D0C19FD" w14:textId="77777777" w:rsidR="00CB2B4A" w:rsidRPr="00CB2B4A" w:rsidRDefault="00CB2B4A" w:rsidP="00CB2B4A">
      <w:pPr>
        <w:spacing w:before="60" w:after="60" w:line="240" w:lineRule="auto"/>
        <w:ind w:firstLine="1418"/>
        <w:jc w:val="both"/>
        <w:rPr>
          <w:rFonts w:cs="Helvetica"/>
        </w:rPr>
      </w:pPr>
      <w:r w:rsidRPr="00CB2B4A">
        <w:rPr>
          <w:rFonts w:cs="Helvetica"/>
        </w:rPr>
        <w:t>Artigo 14 - As solicitações de crédito suplementar, nos termos do artigo 43 da Lei federal nº 4.320, de 17 de março de 1964, serão admitidas apenas se delas constar:</w:t>
      </w:r>
    </w:p>
    <w:p w14:paraId="544DF9B7" w14:textId="77777777" w:rsidR="00CB2B4A" w:rsidRPr="00CB2B4A" w:rsidRDefault="00CB2B4A" w:rsidP="00CB2B4A">
      <w:pPr>
        <w:spacing w:before="60" w:after="60" w:line="240" w:lineRule="auto"/>
        <w:ind w:firstLine="1418"/>
        <w:jc w:val="both"/>
        <w:rPr>
          <w:rFonts w:cs="Helvetica"/>
        </w:rPr>
      </w:pPr>
      <w:r w:rsidRPr="00CB2B4A">
        <w:rPr>
          <w:rFonts w:cs="Helvetica"/>
        </w:rPr>
        <w:t>I - confirmação do excesso de arrecadação de recursos vinculados, operações de crédito e receitas próprias, ou constatada a existência de superávit financeiro apurado no balanço patrimonial do exercício anterior;</w:t>
      </w:r>
    </w:p>
    <w:p w14:paraId="4E71D698" w14:textId="77777777" w:rsidR="00CB2B4A" w:rsidRPr="00CB2B4A" w:rsidRDefault="00CB2B4A" w:rsidP="00CB2B4A">
      <w:pPr>
        <w:spacing w:before="60" w:after="60" w:line="240" w:lineRule="auto"/>
        <w:ind w:firstLine="1418"/>
        <w:jc w:val="both"/>
        <w:rPr>
          <w:rFonts w:cs="Helvetica"/>
        </w:rPr>
      </w:pPr>
      <w:r w:rsidRPr="00CB2B4A">
        <w:rPr>
          <w:rFonts w:cs="Helvetica"/>
        </w:rPr>
        <w:t>II - confirmação, em manifestação conclusiva do Grupo Setorial de Planejamento, Orçamento e Finanças Públicas, da insuficiência de recursos orçamentários após o uso de recursos próprios e a utilização dos mecanismos de alteração na distribuição de recursos internos, antecipação de quotas e de liberação da dotação contingenciada;</w:t>
      </w:r>
    </w:p>
    <w:p w14:paraId="00425B64" w14:textId="77777777" w:rsidR="00CB2B4A" w:rsidRPr="00CB2B4A" w:rsidRDefault="00CB2B4A" w:rsidP="00CB2B4A">
      <w:pPr>
        <w:spacing w:before="60" w:after="60" w:line="240" w:lineRule="auto"/>
        <w:ind w:firstLine="1418"/>
        <w:jc w:val="both"/>
        <w:rPr>
          <w:rFonts w:cs="Helvetica"/>
        </w:rPr>
      </w:pPr>
      <w:r w:rsidRPr="00CB2B4A">
        <w:rPr>
          <w:rFonts w:cs="Helvetica"/>
        </w:rPr>
        <w:t>III - justificativa fundamentada da necessidade de crédito e da existência de recursos para compensação e, no caso da anulação de dotações orçamentárias, justificativa do órgão ou entidade para o cancelamento, acompanhada de demonstrativo da variação nas metas previstas nos projetos e atividades, objetos de alteração;</w:t>
      </w:r>
    </w:p>
    <w:p w14:paraId="0CB8BA76" w14:textId="77777777" w:rsidR="00CB2B4A" w:rsidRPr="00CB2B4A" w:rsidRDefault="00CB2B4A" w:rsidP="00CB2B4A">
      <w:pPr>
        <w:spacing w:before="60" w:after="60" w:line="240" w:lineRule="auto"/>
        <w:ind w:firstLine="1418"/>
        <w:jc w:val="both"/>
        <w:rPr>
          <w:rFonts w:cs="Helvetica"/>
        </w:rPr>
      </w:pPr>
      <w:r w:rsidRPr="00CB2B4A">
        <w:rPr>
          <w:rFonts w:cs="Helvetica"/>
        </w:rPr>
        <w:t>IV - estimativa dos impactos futuros nos programas e ações da unidade, decorrentes da realização da despesa para a qual é solicitado o crédito;</w:t>
      </w:r>
    </w:p>
    <w:p w14:paraId="25D5FE03" w14:textId="77777777" w:rsidR="00CB2B4A" w:rsidRPr="00CB2B4A" w:rsidRDefault="00CB2B4A" w:rsidP="00CB2B4A">
      <w:pPr>
        <w:spacing w:before="60" w:after="60" w:line="240" w:lineRule="auto"/>
        <w:ind w:firstLine="1418"/>
        <w:jc w:val="both"/>
        <w:rPr>
          <w:rFonts w:cs="Helvetica"/>
        </w:rPr>
      </w:pPr>
      <w:r w:rsidRPr="00CB2B4A">
        <w:rPr>
          <w:rFonts w:cs="Helvetica"/>
        </w:rPr>
        <w:t>V - memória de cálculo da projeção da receita de recursos diretamente arrecadados ou vinculados.</w:t>
      </w:r>
    </w:p>
    <w:p w14:paraId="1D7E8356" w14:textId="77777777" w:rsidR="00CB2B4A" w:rsidRPr="00CB2B4A" w:rsidRDefault="00CB2B4A" w:rsidP="00CB2B4A">
      <w:pPr>
        <w:spacing w:before="60" w:after="60" w:line="240" w:lineRule="auto"/>
        <w:ind w:firstLine="1418"/>
        <w:jc w:val="both"/>
        <w:rPr>
          <w:rFonts w:cs="Helvetica"/>
        </w:rPr>
      </w:pPr>
      <w:r w:rsidRPr="00CB2B4A">
        <w:rPr>
          <w:rFonts w:cs="Helvetica"/>
        </w:rPr>
        <w:t>§ 1º - Para apuração do excesso de arrecadação ou do superávit financeiro de que trata o inciso I deste artigo deverá ser utilizado o Sistema Integrado de Receita - SIR disponibilizado no sítio www.fazenda.sp.gov.br.</w:t>
      </w:r>
    </w:p>
    <w:p w14:paraId="19814510" w14:textId="77777777" w:rsidR="00CB2B4A" w:rsidRPr="00CB2B4A" w:rsidRDefault="00CB2B4A" w:rsidP="00CB2B4A">
      <w:pPr>
        <w:spacing w:before="60" w:after="60" w:line="240" w:lineRule="auto"/>
        <w:ind w:firstLine="1418"/>
        <w:jc w:val="both"/>
        <w:rPr>
          <w:rFonts w:cs="Helvetica"/>
        </w:rPr>
      </w:pPr>
      <w:r w:rsidRPr="00CB2B4A">
        <w:rPr>
          <w:rFonts w:cs="Helvetica"/>
        </w:rPr>
        <w:t>§ 2º - Não será concedido crédito por excesso de arrecadação das receitas em fontes detalhadas que tiverem pendências de recolhimento à São Paulo Previdência - SPPREV determinado pela Lei nº 17.293, de 15 de outubro de 2020.</w:t>
      </w:r>
    </w:p>
    <w:p w14:paraId="0F43253C" w14:textId="77777777" w:rsidR="00CB2B4A" w:rsidRPr="00CB2B4A" w:rsidRDefault="00CB2B4A" w:rsidP="00CB2B4A">
      <w:pPr>
        <w:spacing w:before="60" w:after="60" w:line="240" w:lineRule="auto"/>
        <w:ind w:firstLine="1418"/>
        <w:jc w:val="both"/>
        <w:rPr>
          <w:rFonts w:cs="Helvetica"/>
        </w:rPr>
      </w:pPr>
      <w:r w:rsidRPr="00CB2B4A">
        <w:rPr>
          <w:rFonts w:cs="Helvetica"/>
        </w:rPr>
        <w:t>§ 3º - Os recursos oferecidos para cobertura de alterações orçamentárias deverão estar obrigatoriamente disponíveis na Unidade Gestora Orçamentária antes do encaminhamento do pedido através do Sistema de Alteração Orçamentária - SAO e não poderão ser objeto de execução e de outras alterações orçamentárias durante a tramitação das alterações anteriores, sob pena de anulação da primeira.</w:t>
      </w:r>
    </w:p>
    <w:p w14:paraId="1DF82349" w14:textId="77777777" w:rsidR="00CB2B4A" w:rsidRPr="00CB2B4A" w:rsidRDefault="00CB2B4A" w:rsidP="00CB2B4A">
      <w:pPr>
        <w:spacing w:before="60" w:after="60" w:line="240" w:lineRule="auto"/>
        <w:ind w:firstLine="1418"/>
        <w:jc w:val="both"/>
        <w:rPr>
          <w:rFonts w:cs="Helvetica"/>
        </w:rPr>
      </w:pPr>
      <w:r w:rsidRPr="00CB2B4A">
        <w:rPr>
          <w:rFonts w:cs="Helvetica"/>
        </w:rPr>
        <w:t>§ 4º - O não cumprimento dos procedimentos dispostos neste artigo implicará na paralisação da análise do crédito e na devolução da solicitação ao órgão ou entidade de origem.</w:t>
      </w:r>
    </w:p>
    <w:p w14:paraId="536E775B" w14:textId="77777777" w:rsidR="00CB2B4A" w:rsidRPr="00CB2B4A" w:rsidRDefault="00CB2B4A" w:rsidP="00CB2B4A">
      <w:pPr>
        <w:spacing w:before="60" w:after="60" w:line="240" w:lineRule="auto"/>
        <w:ind w:firstLine="1418"/>
        <w:jc w:val="both"/>
        <w:rPr>
          <w:rFonts w:cs="Helvetica"/>
        </w:rPr>
      </w:pPr>
      <w:r w:rsidRPr="00CB2B4A">
        <w:rPr>
          <w:rFonts w:cs="Helvetica"/>
        </w:rPr>
        <w:t>Artigo 15 - Os pedidos de créditos adicionais serão dirigidos à Secretaria de Orçamento e Gestão e estão condicionados aos resultados da arrecadação e da execução da despesa.</w:t>
      </w:r>
    </w:p>
    <w:p w14:paraId="4FE5B95C" w14:textId="77777777" w:rsidR="00CB2B4A" w:rsidRPr="00CB2B4A" w:rsidRDefault="00CB2B4A" w:rsidP="00CB2B4A">
      <w:pPr>
        <w:spacing w:before="60" w:after="60" w:line="240" w:lineRule="auto"/>
        <w:ind w:firstLine="1418"/>
        <w:jc w:val="both"/>
        <w:rPr>
          <w:rFonts w:cs="Helvetica"/>
        </w:rPr>
      </w:pPr>
      <w:r w:rsidRPr="00CB2B4A">
        <w:rPr>
          <w:rFonts w:cs="Helvetica"/>
        </w:rPr>
        <w:lastRenderedPageBreak/>
        <w:t>§ 1º - Para fins de cobertura dos créditos adicionais deverão ser indicados recursos, preferencialmente, na seguinte hierarquia:</w:t>
      </w:r>
    </w:p>
    <w:p w14:paraId="3B04D1BE" w14:textId="77777777" w:rsidR="00CB2B4A" w:rsidRPr="00CB2B4A" w:rsidRDefault="00CB2B4A" w:rsidP="00CB2B4A">
      <w:pPr>
        <w:spacing w:before="60" w:after="60" w:line="240" w:lineRule="auto"/>
        <w:ind w:firstLine="1418"/>
        <w:jc w:val="both"/>
        <w:rPr>
          <w:rFonts w:cs="Helvetica"/>
        </w:rPr>
      </w:pPr>
      <w:r w:rsidRPr="00CB2B4A">
        <w:rPr>
          <w:rFonts w:cs="Helvetica"/>
        </w:rPr>
        <w:t>1. os resultantes de anulação parcial ou total de dotações orçamentárias ou de créditos adicionais autorizados por lei;</w:t>
      </w:r>
    </w:p>
    <w:p w14:paraId="42EF3F43" w14:textId="77777777" w:rsidR="00CB2B4A" w:rsidRPr="00CB2B4A" w:rsidRDefault="00CB2B4A" w:rsidP="00CB2B4A">
      <w:pPr>
        <w:spacing w:before="60" w:after="60" w:line="240" w:lineRule="auto"/>
        <w:ind w:firstLine="1418"/>
        <w:jc w:val="both"/>
        <w:rPr>
          <w:rFonts w:cs="Helvetica"/>
        </w:rPr>
      </w:pPr>
      <w:r w:rsidRPr="00CB2B4A">
        <w:rPr>
          <w:rFonts w:cs="Helvetica"/>
        </w:rPr>
        <w:t>2. o superávit financeiro apurado em balanço patrimonial do exercício anterior, com exceção dos listados no artigo 20 deste decreto;</w:t>
      </w:r>
    </w:p>
    <w:p w14:paraId="6F5AD3FD" w14:textId="77777777" w:rsidR="00CB2B4A" w:rsidRPr="00CB2B4A" w:rsidRDefault="00CB2B4A" w:rsidP="00CB2B4A">
      <w:pPr>
        <w:spacing w:before="60" w:after="60" w:line="240" w:lineRule="auto"/>
        <w:ind w:firstLine="1418"/>
        <w:jc w:val="both"/>
        <w:rPr>
          <w:rFonts w:cs="Helvetica"/>
        </w:rPr>
      </w:pPr>
      <w:r w:rsidRPr="00CB2B4A">
        <w:rPr>
          <w:rFonts w:cs="Helvetica"/>
        </w:rPr>
        <w:t>3. outros recursos nos termos dos incisos II e IV do artigo 43 da Lei federal nº 4.320, de 17 de março de 1964.</w:t>
      </w:r>
    </w:p>
    <w:p w14:paraId="0A838B46" w14:textId="77777777" w:rsidR="00CB2B4A" w:rsidRPr="00CB2B4A" w:rsidRDefault="00CB2B4A" w:rsidP="00CB2B4A">
      <w:pPr>
        <w:spacing w:before="60" w:after="60" w:line="240" w:lineRule="auto"/>
        <w:ind w:firstLine="1418"/>
        <w:jc w:val="both"/>
        <w:rPr>
          <w:rFonts w:cs="Helvetica"/>
        </w:rPr>
      </w:pPr>
      <w:r w:rsidRPr="00CB2B4A">
        <w:rPr>
          <w:rFonts w:cs="Helvetica"/>
        </w:rPr>
        <w:t>§ 2º - Em caráter excepcional serão admitidos pedidos de crédito, previstos no parágrafo anterior, para atendimento de despesas com pessoal e reflexos, sentenças judiciárias e serviço da dívida, podendo as Secretarias de Orçamento e Gestão, da Fazenda e Planejamento e de Governo ressalvar sua aplicação em outros casos mediante justificativa fundamentada do Órgão.</w:t>
      </w:r>
    </w:p>
    <w:p w14:paraId="7382A15E" w14:textId="77777777" w:rsidR="00CB2B4A" w:rsidRPr="00CB2B4A" w:rsidRDefault="00CB2B4A" w:rsidP="00CB2B4A">
      <w:pPr>
        <w:spacing w:before="60" w:after="60" w:line="240" w:lineRule="auto"/>
        <w:ind w:firstLine="1418"/>
        <w:jc w:val="both"/>
        <w:rPr>
          <w:rFonts w:cs="Helvetica"/>
        </w:rPr>
      </w:pPr>
      <w:r w:rsidRPr="00CB2B4A">
        <w:rPr>
          <w:rFonts w:cs="Helvetica"/>
        </w:rPr>
        <w:t>Artigo 16 - Portaria conjunta das Secretarias de Orçamento e Gestão e da Fazenda e Planejamento irá especificar as despesas com restrições de remanejamento e a forma de monitoramento e controle.</w:t>
      </w:r>
    </w:p>
    <w:p w14:paraId="7575820A" w14:textId="77777777" w:rsidR="00CB2B4A" w:rsidRPr="00CB2B4A" w:rsidRDefault="00CB2B4A" w:rsidP="00CB2B4A">
      <w:pPr>
        <w:spacing w:before="60" w:after="60" w:line="240" w:lineRule="auto"/>
        <w:ind w:firstLine="1418"/>
        <w:jc w:val="both"/>
        <w:rPr>
          <w:rFonts w:cs="Helvetica"/>
        </w:rPr>
      </w:pPr>
      <w:r w:rsidRPr="00CB2B4A">
        <w:rPr>
          <w:rFonts w:cs="Helvetica"/>
        </w:rPr>
        <w:t>Artigo 17 - As solicitações de créditos especiais destinados a despesas para as quais não haja dotação orçamentária específica, nos termos do artigo 43 da Lei federal nº 4.320, de 17 de março de 1964, serão admitidas apenas se delas constar os pareceres dos órgãos técnicos e da Consultoria Jurídica das Secretarias de origem, manifestação conclusiva do Titular da Pasta e Exposição de Motivos, em conformidade com o disposto no Decreto n° 51.704, de 26 de março de 2007.</w:t>
      </w:r>
    </w:p>
    <w:p w14:paraId="380AB33E" w14:textId="77777777" w:rsidR="00CB2B4A" w:rsidRPr="00CB2B4A" w:rsidRDefault="00CB2B4A" w:rsidP="00CB2B4A">
      <w:pPr>
        <w:spacing w:before="60" w:after="60" w:line="240" w:lineRule="auto"/>
        <w:ind w:firstLine="1418"/>
        <w:jc w:val="both"/>
        <w:rPr>
          <w:rFonts w:cs="Helvetica"/>
        </w:rPr>
      </w:pPr>
      <w:r w:rsidRPr="00CB2B4A">
        <w:rPr>
          <w:rFonts w:cs="Helvetica"/>
        </w:rPr>
        <w:t>Artigo 18 - As empresas não dependentes ficam obrigadas a submeter à Secretaria de Orçamento e Gestão qualquer alteração do orçamento de investimento aprovado na Lei nº 17.498, de 29 de dezembro de 2021.</w:t>
      </w:r>
    </w:p>
    <w:p w14:paraId="0D8B23DF" w14:textId="77777777" w:rsidR="00CB2B4A" w:rsidRPr="00CB2B4A" w:rsidRDefault="00CB2B4A" w:rsidP="00CB2B4A">
      <w:pPr>
        <w:spacing w:before="60" w:after="60" w:line="240" w:lineRule="auto"/>
        <w:ind w:firstLine="1418"/>
        <w:jc w:val="both"/>
        <w:rPr>
          <w:rFonts w:cs="Helvetica"/>
        </w:rPr>
      </w:pPr>
      <w:r w:rsidRPr="00CB2B4A">
        <w:rPr>
          <w:rFonts w:cs="Helvetica"/>
        </w:rPr>
        <w:t>Parágrafo único - As solicitações de alteração orçamentária do orçamento de investimento das empresas mencionadas no "caput" deverão ser formalizadas no Sistema de Alteração Orçamentária - SAO, observadas as normas estabelecidas pelas Secretarias de Orçamento e Gestão, da Fazenda e Planejamento e de Governo.</w:t>
      </w:r>
    </w:p>
    <w:p w14:paraId="2DEBED64" w14:textId="77777777" w:rsidR="00CB2B4A" w:rsidRPr="00CB2B4A" w:rsidRDefault="00CB2B4A" w:rsidP="00CB2B4A">
      <w:pPr>
        <w:spacing w:before="60" w:after="60" w:line="240" w:lineRule="auto"/>
        <w:ind w:firstLine="1418"/>
        <w:jc w:val="both"/>
        <w:rPr>
          <w:rFonts w:cs="Helvetica"/>
        </w:rPr>
      </w:pPr>
      <w:r w:rsidRPr="00CB2B4A">
        <w:rPr>
          <w:rFonts w:cs="Helvetica"/>
        </w:rPr>
        <w:t>Artigo 19 - Para efeito de atendimento ao que estabelece o § 2º do artigo 12 da Lei nº 17.387, de 22 de julho de 2021, serão consideradas as informações disponíveis e detalhadas nas respectivas solicitações de movimentações orçamentárias no Sistema de Alteração Orçamentária.</w:t>
      </w:r>
    </w:p>
    <w:p w14:paraId="4EFEE4D4" w14:textId="77777777" w:rsidR="00CB2B4A" w:rsidRPr="00CB2B4A" w:rsidRDefault="00CB2B4A" w:rsidP="00CB2B4A">
      <w:pPr>
        <w:spacing w:before="60" w:after="60" w:line="240" w:lineRule="auto"/>
        <w:ind w:firstLine="1418"/>
        <w:jc w:val="both"/>
        <w:rPr>
          <w:rFonts w:cs="Helvetica"/>
        </w:rPr>
      </w:pPr>
      <w:r w:rsidRPr="00CB2B4A">
        <w:rPr>
          <w:rFonts w:cs="Helvetica"/>
        </w:rPr>
        <w:t>SEÇÃO VII</w:t>
      </w:r>
    </w:p>
    <w:p w14:paraId="239D6824" w14:textId="77777777" w:rsidR="00CB2B4A" w:rsidRPr="00CB2B4A" w:rsidRDefault="00CB2B4A" w:rsidP="00CB2B4A">
      <w:pPr>
        <w:spacing w:before="60" w:after="60" w:line="240" w:lineRule="auto"/>
        <w:ind w:firstLine="1418"/>
        <w:jc w:val="both"/>
        <w:rPr>
          <w:rFonts w:cs="Helvetica"/>
        </w:rPr>
      </w:pPr>
      <w:r w:rsidRPr="00CB2B4A">
        <w:rPr>
          <w:rFonts w:cs="Helvetica"/>
        </w:rPr>
        <w:t>Do Superávit Financeiro</w:t>
      </w:r>
    </w:p>
    <w:p w14:paraId="68B0FFB9" w14:textId="77777777" w:rsidR="00CB2B4A" w:rsidRPr="00CB2B4A" w:rsidRDefault="00CB2B4A" w:rsidP="00CB2B4A">
      <w:pPr>
        <w:spacing w:before="60" w:after="60" w:line="240" w:lineRule="auto"/>
        <w:ind w:firstLine="1418"/>
        <w:jc w:val="both"/>
        <w:rPr>
          <w:rFonts w:cs="Helvetica"/>
        </w:rPr>
      </w:pPr>
      <w:r w:rsidRPr="00CB2B4A">
        <w:rPr>
          <w:rFonts w:cs="Helvetica"/>
        </w:rPr>
        <w:t>Artigo 20 - Os recursos do superávit financeiro de que tratam os artigos 14, 15 e 17 da Lei nº 17.293, de 15 de outubro de 2020, deverão ser depositados na Conta Única do Tesouro Estadual - subconta da São Paulo Previdência - SPPREV, em até 10 (dez) dias após a publicação do Balanço Geral do Estado.</w:t>
      </w:r>
    </w:p>
    <w:p w14:paraId="694F4375" w14:textId="77777777" w:rsidR="00CB2B4A" w:rsidRPr="00CB2B4A" w:rsidRDefault="00CB2B4A" w:rsidP="00CB2B4A">
      <w:pPr>
        <w:spacing w:before="60" w:after="60" w:line="240" w:lineRule="auto"/>
        <w:ind w:firstLine="1418"/>
        <w:jc w:val="both"/>
        <w:rPr>
          <w:rFonts w:cs="Helvetica"/>
        </w:rPr>
      </w:pPr>
      <w:r w:rsidRPr="00CB2B4A">
        <w:rPr>
          <w:rFonts w:cs="Helvetica"/>
        </w:rPr>
        <w:t>§ 1º - O disposto no "caput" não se aplica ao montante das receitas vinculadas cuja destinação legal esteja prevista na Constituição Federal, Constituição Estadual ou legislação federal; às entidades e fundos excetuados na referida lei; e ao montante das receitas dos fundos de investimento vinculadas a programas de subsídios ou com objetivo de prover recursos para riscos de crédito nos termos do Decreto nº 62.310, de 16 de dezembro de 2016. </w:t>
      </w:r>
    </w:p>
    <w:p w14:paraId="20DBC4E2" w14:textId="77777777" w:rsidR="00CB2B4A" w:rsidRPr="00CB2B4A" w:rsidRDefault="00CB2B4A" w:rsidP="00CB2B4A">
      <w:pPr>
        <w:spacing w:before="60" w:after="60" w:line="240" w:lineRule="auto"/>
        <w:ind w:firstLine="1418"/>
        <w:jc w:val="both"/>
        <w:rPr>
          <w:rFonts w:cs="Helvetica"/>
        </w:rPr>
      </w:pPr>
      <w:r w:rsidRPr="00CB2B4A">
        <w:rPr>
          <w:rFonts w:cs="Helvetica"/>
        </w:rPr>
        <w:lastRenderedPageBreak/>
        <w:t>§ 2º - A critério dos órgãos dos Poderes Legislativo e Judiciário, do Ministério Público e da Defensoria Pública, a transferência prevista no "caput" poderá ser substituída pela compensação do superávit financeiro com duodécimos.</w:t>
      </w:r>
    </w:p>
    <w:p w14:paraId="2A1CE2BA" w14:textId="77777777" w:rsidR="00CB2B4A" w:rsidRPr="00CB2B4A" w:rsidRDefault="00CB2B4A" w:rsidP="00CB2B4A">
      <w:pPr>
        <w:spacing w:before="60" w:after="60" w:line="240" w:lineRule="auto"/>
        <w:ind w:firstLine="1418"/>
        <w:jc w:val="both"/>
        <w:rPr>
          <w:rFonts w:cs="Helvetica"/>
        </w:rPr>
      </w:pPr>
      <w:r w:rsidRPr="00CB2B4A">
        <w:rPr>
          <w:rFonts w:cs="Helvetica"/>
        </w:rPr>
        <w:t>Artigo 21 - O superávit financeiro apurado em exercícios anteriores e não transferido à São Paulo Previdência - SPPREV de acordo com a Lei nº 17.293, de 15 de outubro de 2020, deverá ser obrigatoriamente recolhido durante o exercício de 2022.</w:t>
      </w:r>
    </w:p>
    <w:p w14:paraId="3132BE22" w14:textId="77777777" w:rsidR="00CB2B4A" w:rsidRPr="00CB2B4A" w:rsidRDefault="00CB2B4A" w:rsidP="00CB2B4A">
      <w:pPr>
        <w:spacing w:before="60" w:after="60" w:line="240" w:lineRule="auto"/>
        <w:ind w:firstLine="1418"/>
        <w:jc w:val="both"/>
        <w:rPr>
          <w:rFonts w:cs="Helvetica"/>
        </w:rPr>
      </w:pPr>
      <w:r w:rsidRPr="00CB2B4A">
        <w:rPr>
          <w:rFonts w:cs="Helvetica"/>
        </w:rPr>
        <w:t>SEÇÃO VIII </w:t>
      </w:r>
    </w:p>
    <w:p w14:paraId="02B4D98D" w14:textId="77777777" w:rsidR="00CB2B4A" w:rsidRPr="00CB2B4A" w:rsidRDefault="00CB2B4A" w:rsidP="00CB2B4A">
      <w:pPr>
        <w:spacing w:before="60" w:after="60" w:line="240" w:lineRule="auto"/>
        <w:ind w:firstLine="1418"/>
        <w:jc w:val="both"/>
        <w:rPr>
          <w:rFonts w:cs="Helvetica"/>
        </w:rPr>
      </w:pPr>
      <w:r w:rsidRPr="00CB2B4A">
        <w:rPr>
          <w:rFonts w:cs="Helvetica"/>
        </w:rPr>
        <w:t>Das Emendas Parlamentares</w:t>
      </w:r>
    </w:p>
    <w:p w14:paraId="6F0A965D" w14:textId="77777777" w:rsidR="00CB2B4A" w:rsidRPr="00CB2B4A" w:rsidRDefault="00CB2B4A" w:rsidP="00CB2B4A">
      <w:pPr>
        <w:spacing w:before="60" w:after="60" w:line="240" w:lineRule="auto"/>
        <w:ind w:firstLine="1418"/>
        <w:jc w:val="both"/>
        <w:rPr>
          <w:rFonts w:cs="Helvetica"/>
        </w:rPr>
      </w:pPr>
      <w:r w:rsidRPr="00CB2B4A">
        <w:rPr>
          <w:rFonts w:cs="Helvetica"/>
        </w:rPr>
        <w:t>Artigo 22 - As dotações orçamentárias decorrentes de emendas parlamentares não poderão ser alteradas ou oferecidas para remanejamento de qualquer espécie durante o exercício de 2022, exceto nas hipóteses previstas na Lei nº 17.387, de 22 de julho de 2021, que dispõe sobre das diretrizes orçamentárias para o exercício de 2022.</w:t>
      </w:r>
    </w:p>
    <w:p w14:paraId="04376B12" w14:textId="77777777" w:rsidR="00CB2B4A" w:rsidRPr="00CB2B4A" w:rsidRDefault="00CB2B4A" w:rsidP="00CB2B4A">
      <w:pPr>
        <w:spacing w:before="60" w:after="60" w:line="240" w:lineRule="auto"/>
        <w:ind w:firstLine="1418"/>
        <w:jc w:val="both"/>
        <w:rPr>
          <w:rFonts w:cs="Helvetica"/>
        </w:rPr>
      </w:pPr>
      <w:r w:rsidRPr="00CB2B4A">
        <w:rPr>
          <w:rFonts w:cs="Helvetica"/>
        </w:rPr>
        <w:t>Parágrafo único - Ao órgão ou à entidade da Administração Pública estadual responsável pela execução da programação orçamentária decorrente da emenda parlamentar caberá a análise de eventuais impedimentos de ordem técnica, nos termos do artigo 32 da Lei nº 17.387, de 22 de julho de 2021, e do Decreto nº 66.426, de 10 de janeiro de 2022, que dispõe sobre o procedimento para a execução orçamentária e financeira das programações decorrentes de emendas impositivas ao projeto de lei orçamentária.</w:t>
      </w:r>
    </w:p>
    <w:p w14:paraId="5D1350B4" w14:textId="77777777" w:rsidR="00CB2B4A" w:rsidRPr="00CB2B4A" w:rsidRDefault="00CB2B4A" w:rsidP="00CB2B4A">
      <w:pPr>
        <w:spacing w:before="60" w:after="60" w:line="240" w:lineRule="auto"/>
        <w:ind w:firstLine="1418"/>
        <w:jc w:val="both"/>
        <w:rPr>
          <w:rFonts w:cs="Helvetica"/>
        </w:rPr>
      </w:pPr>
      <w:r w:rsidRPr="00CB2B4A">
        <w:rPr>
          <w:rFonts w:cs="Helvetica"/>
        </w:rPr>
        <w:t>Artigo 23 - Com o fim de viabilizar a execução das programações incluídas por emendas parlamentares, serão observados os seguintes procedimentos e prazos:</w:t>
      </w:r>
    </w:p>
    <w:p w14:paraId="490BE7F3" w14:textId="77777777" w:rsidR="00CB2B4A" w:rsidRPr="00CB2B4A" w:rsidRDefault="00CB2B4A" w:rsidP="00CB2B4A">
      <w:pPr>
        <w:spacing w:before="60" w:after="60" w:line="240" w:lineRule="auto"/>
        <w:ind w:firstLine="1418"/>
        <w:jc w:val="both"/>
        <w:rPr>
          <w:rFonts w:cs="Helvetica"/>
        </w:rPr>
      </w:pPr>
      <w:r w:rsidRPr="00CB2B4A">
        <w:rPr>
          <w:rFonts w:cs="Helvetica"/>
        </w:rPr>
        <w:t>I - até 29 de janeiro de 2022, o autor da emenda deverá indicar ao Poder Executivo o beneficiário e respectivo número de inscrição no Cadastro Nacional de Pessoas Jurídicas - CNPJ, o valor, bem como o objeto da emenda, quando houver; </w:t>
      </w:r>
    </w:p>
    <w:p w14:paraId="68CE37F5" w14:textId="77777777" w:rsidR="00CB2B4A" w:rsidRPr="00CB2B4A" w:rsidRDefault="00CB2B4A" w:rsidP="00CB2B4A">
      <w:pPr>
        <w:spacing w:before="60" w:after="60" w:line="240" w:lineRule="auto"/>
        <w:ind w:firstLine="1418"/>
        <w:jc w:val="both"/>
        <w:rPr>
          <w:rFonts w:cs="Helvetica"/>
        </w:rPr>
      </w:pPr>
      <w:r w:rsidRPr="00CB2B4A">
        <w:rPr>
          <w:rFonts w:cs="Helvetica"/>
        </w:rPr>
        <w:t>II - até  3 de fevereiro de 2022, o Poder Legislativo deverá publicar no Diário Oficial do Estado, a relação de emendas por autor, com a indicação dos dados a que se refere o inciso I deste artigo; </w:t>
      </w:r>
    </w:p>
    <w:p w14:paraId="4A45944F" w14:textId="77777777" w:rsidR="00CB2B4A" w:rsidRPr="00CB2B4A" w:rsidRDefault="00CB2B4A" w:rsidP="00CB2B4A">
      <w:pPr>
        <w:spacing w:before="60" w:after="60" w:line="240" w:lineRule="auto"/>
        <w:ind w:firstLine="1418"/>
        <w:jc w:val="both"/>
        <w:rPr>
          <w:rFonts w:cs="Helvetica"/>
        </w:rPr>
      </w:pPr>
      <w:r w:rsidRPr="00CB2B4A">
        <w:rPr>
          <w:rFonts w:cs="Helvetica"/>
        </w:rPr>
        <w:t>III - até 20 de março de 2022 os órgãos ou entidades da Administração Pública responsáveis pela execução das programações decorrentes de emendas parlamentares deverão analisar as indicações recebidas aprovando-as ou justificando os eventuais impedimentos de ordem técnica;</w:t>
      </w:r>
    </w:p>
    <w:p w14:paraId="6A578086" w14:textId="77777777" w:rsidR="00CB2B4A" w:rsidRPr="00CB2B4A" w:rsidRDefault="00CB2B4A" w:rsidP="00CB2B4A">
      <w:pPr>
        <w:spacing w:before="60" w:after="60" w:line="240" w:lineRule="auto"/>
        <w:ind w:firstLine="1418"/>
        <w:jc w:val="both"/>
        <w:rPr>
          <w:rFonts w:cs="Helvetica"/>
        </w:rPr>
      </w:pPr>
      <w:r w:rsidRPr="00CB2B4A">
        <w:rPr>
          <w:rFonts w:cs="Helvetica"/>
        </w:rPr>
        <w:t>IV - entre 21 de março de 2022 até 4 de abril de 2022, o autor da emenda poderá solicitar o remanejamento da programação cujo impedimento técnico tenha sido justificado, e realizar as indicações, observado o limite mínimo de destinação a ações e serviços públicos de saúde previsto no § 6º do artigo 175 da Constituição do Estado;</w:t>
      </w:r>
    </w:p>
    <w:p w14:paraId="39EA8F1D" w14:textId="77777777" w:rsidR="00CB2B4A" w:rsidRPr="00CB2B4A" w:rsidRDefault="00CB2B4A" w:rsidP="00CB2B4A">
      <w:pPr>
        <w:spacing w:before="60" w:after="60" w:line="240" w:lineRule="auto"/>
        <w:ind w:firstLine="1418"/>
        <w:jc w:val="both"/>
        <w:rPr>
          <w:rFonts w:cs="Helvetica"/>
        </w:rPr>
      </w:pPr>
      <w:r w:rsidRPr="00CB2B4A">
        <w:rPr>
          <w:rFonts w:cs="Helvetica"/>
        </w:rPr>
        <w:t>V - até 19 de abril de 2022, o Poder Executivo fará o remanejamento da programação, nos termos previstos na Lei Orçamentária Anual;</w:t>
      </w:r>
    </w:p>
    <w:p w14:paraId="76811DBA" w14:textId="77777777" w:rsidR="00CB2B4A" w:rsidRPr="00CB2B4A" w:rsidRDefault="00CB2B4A" w:rsidP="00CB2B4A">
      <w:pPr>
        <w:spacing w:before="60" w:after="60" w:line="240" w:lineRule="auto"/>
        <w:ind w:firstLine="1418"/>
        <w:jc w:val="both"/>
        <w:rPr>
          <w:rFonts w:cs="Helvetica"/>
        </w:rPr>
      </w:pPr>
      <w:r w:rsidRPr="00CB2B4A">
        <w:rPr>
          <w:rFonts w:cs="Helvetica"/>
        </w:rPr>
        <w:t>VI - até 3 de junho de 2022, os órgãos ou entidades da Administração Pública responsáveis pela execução das programações decorrentes de emendas parlamentares deverão analisar as novas indicações recebidas após solicitação de remanejamento, aprovando-as ou justificando os eventuais impedimentos de ordem técnica. </w:t>
      </w:r>
    </w:p>
    <w:p w14:paraId="525E72BD" w14:textId="77777777" w:rsidR="00CB2B4A" w:rsidRPr="00CB2B4A" w:rsidRDefault="00CB2B4A" w:rsidP="00CB2B4A">
      <w:pPr>
        <w:spacing w:before="60" w:after="60" w:line="240" w:lineRule="auto"/>
        <w:ind w:firstLine="1418"/>
        <w:jc w:val="both"/>
        <w:rPr>
          <w:rFonts w:cs="Helvetica"/>
        </w:rPr>
      </w:pPr>
      <w:r w:rsidRPr="00CB2B4A">
        <w:rPr>
          <w:rFonts w:cs="Helvetica"/>
        </w:rPr>
        <w:t>§1º - As análises a que aludem os incisos III e VI deste artigo serão feitas de forma faseada, na seguinte conformidade: </w:t>
      </w:r>
    </w:p>
    <w:p w14:paraId="0C649468" w14:textId="77777777" w:rsidR="00CB2B4A" w:rsidRPr="00CB2B4A" w:rsidRDefault="00CB2B4A" w:rsidP="00CB2B4A">
      <w:pPr>
        <w:spacing w:before="60" w:after="60" w:line="240" w:lineRule="auto"/>
        <w:ind w:firstLine="1418"/>
        <w:jc w:val="both"/>
        <w:rPr>
          <w:rFonts w:cs="Helvetica"/>
        </w:rPr>
      </w:pPr>
      <w:r w:rsidRPr="00CB2B4A">
        <w:rPr>
          <w:rFonts w:cs="Helvetica"/>
        </w:rPr>
        <w:t xml:space="preserve">1. análise de admissibilidade: análise de competência para execução da emenda parlamentar pelos órgãos ou entidades da Administração Pública setoriais, com a consequente aprovação ou reprovação, por meio de elaboração de parecer de </w:t>
      </w:r>
      <w:r w:rsidRPr="00CB2B4A">
        <w:rPr>
          <w:rFonts w:cs="Helvetica"/>
        </w:rPr>
        <w:lastRenderedPageBreak/>
        <w:t>admissibilidade, em até 5 (cinco) dias após o término do prazo do inciso II ou V do "caput" deste artigo; </w:t>
      </w:r>
    </w:p>
    <w:p w14:paraId="099E01CC" w14:textId="77777777" w:rsidR="00CB2B4A" w:rsidRPr="00CB2B4A" w:rsidRDefault="00CB2B4A" w:rsidP="00CB2B4A">
      <w:pPr>
        <w:spacing w:before="60" w:after="60" w:line="240" w:lineRule="auto"/>
        <w:ind w:firstLine="1418"/>
        <w:jc w:val="both"/>
        <w:rPr>
          <w:rFonts w:cs="Helvetica"/>
        </w:rPr>
      </w:pPr>
      <w:r w:rsidRPr="00CB2B4A">
        <w:rPr>
          <w:rFonts w:cs="Helvetica"/>
        </w:rPr>
        <w:t>2. instrução pelo beneficiário: envio de informações e documentos necessários à execução da programação em até 15 (quinze) dias após notificação pelos órgãos ou entidades da Administração Pública setoriais;</w:t>
      </w:r>
    </w:p>
    <w:p w14:paraId="0DB7A270" w14:textId="77777777" w:rsidR="00CB2B4A" w:rsidRPr="00CB2B4A" w:rsidRDefault="00CB2B4A" w:rsidP="00CB2B4A">
      <w:pPr>
        <w:spacing w:before="60" w:after="60" w:line="240" w:lineRule="auto"/>
        <w:ind w:firstLine="1418"/>
        <w:jc w:val="both"/>
        <w:rPr>
          <w:rFonts w:cs="Helvetica"/>
        </w:rPr>
      </w:pPr>
      <w:r w:rsidRPr="00CB2B4A">
        <w:rPr>
          <w:rFonts w:cs="Helvetica"/>
        </w:rPr>
        <w:t>3. análise técnica: exame dos documentos e informações enviadas pelos beneficiários, com a consequente aprovação da indicação ou justificativa de impedimento de ordem técnica, por meio da elaboração de parecer técnico.</w:t>
      </w:r>
    </w:p>
    <w:p w14:paraId="58DF666C" w14:textId="77777777" w:rsidR="00CB2B4A" w:rsidRPr="00CB2B4A" w:rsidRDefault="00CB2B4A" w:rsidP="00CB2B4A">
      <w:pPr>
        <w:spacing w:before="60" w:after="60" w:line="240" w:lineRule="auto"/>
        <w:ind w:firstLine="1418"/>
        <w:jc w:val="both"/>
        <w:rPr>
          <w:rFonts w:cs="Helvetica"/>
        </w:rPr>
      </w:pPr>
      <w:r w:rsidRPr="00CB2B4A">
        <w:rPr>
          <w:rFonts w:cs="Helvetica"/>
        </w:rPr>
        <w:t>§2º - Após a análise de admissibilidade a que se refere o item 1 do §1º, caso o recurso correspondente à emenda parlamentar seja alocado em órgão ou entidade da Administração Pública estadual que não tenha competência para executá-la, ou em grupo de natureza da despesa que impossibilite a sua utilização, fica o Poder Executivo autorizado, cientificado o autor da emenda:</w:t>
      </w:r>
    </w:p>
    <w:p w14:paraId="0D691EDF" w14:textId="77777777" w:rsidR="00CB2B4A" w:rsidRPr="00CB2B4A" w:rsidRDefault="00CB2B4A" w:rsidP="00CB2B4A">
      <w:pPr>
        <w:spacing w:before="60" w:after="60" w:line="240" w:lineRule="auto"/>
        <w:ind w:firstLine="1418"/>
        <w:jc w:val="both"/>
        <w:rPr>
          <w:rFonts w:cs="Helvetica"/>
        </w:rPr>
      </w:pPr>
      <w:r w:rsidRPr="00CB2B4A">
        <w:rPr>
          <w:rFonts w:cs="Helvetica"/>
        </w:rPr>
        <w:t>1. a remanejar o respectivo valor para o programa de trabalho do órgão ou da entidade da Administração Pública estadual com atribuição para a execução da iniciativa;</w:t>
      </w:r>
    </w:p>
    <w:p w14:paraId="14D1F821" w14:textId="77777777" w:rsidR="00CB2B4A" w:rsidRPr="00CB2B4A" w:rsidRDefault="00CB2B4A" w:rsidP="00CB2B4A">
      <w:pPr>
        <w:spacing w:before="60" w:after="60" w:line="240" w:lineRule="auto"/>
        <w:ind w:firstLine="1418"/>
        <w:jc w:val="both"/>
        <w:rPr>
          <w:rFonts w:cs="Helvetica"/>
        </w:rPr>
      </w:pPr>
      <w:r w:rsidRPr="00CB2B4A">
        <w:rPr>
          <w:rFonts w:cs="Helvetica"/>
        </w:rPr>
        <w:t>2. a transferi-lo de grupo de natureza da despesa;</w:t>
      </w:r>
    </w:p>
    <w:p w14:paraId="5628B66B" w14:textId="77777777" w:rsidR="00CB2B4A" w:rsidRPr="00CB2B4A" w:rsidRDefault="00CB2B4A" w:rsidP="00CB2B4A">
      <w:pPr>
        <w:spacing w:before="60" w:after="60" w:line="240" w:lineRule="auto"/>
        <w:ind w:firstLine="1418"/>
        <w:jc w:val="both"/>
        <w:rPr>
          <w:rFonts w:cs="Helvetica"/>
        </w:rPr>
      </w:pPr>
      <w:r w:rsidRPr="00CB2B4A">
        <w:rPr>
          <w:rFonts w:cs="Helvetica"/>
        </w:rPr>
        <w:t>3. a declarar impedida a emenda parlamentar incompatível com as políticas públicas executadas pela Administração Pública estadual ou com os atributos da ação orçamentária.</w:t>
      </w:r>
    </w:p>
    <w:p w14:paraId="72EB1C0E" w14:textId="77777777" w:rsidR="00CB2B4A" w:rsidRPr="00CB2B4A" w:rsidRDefault="00CB2B4A" w:rsidP="00CB2B4A">
      <w:pPr>
        <w:spacing w:before="60" w:after="60" w:line="240" w:lineRule="auto"/>
        <w:ind w:firstLine="1418"/>
        <w:jc w:val="both"/>
        <w:rPr>
          <w:rFonts w:cs="Helvetica"/>
        </w:rPr>
      </w:pPr>
      <w:r w:rsidRPr="00CB2B4A">
        <w:rPr>
          <w:rFonts w:cs="Helvetica"/>
        </w:rPr>
        <w:t>§ 3º - Os órgãos ou entidades da Administração Pública setoriais poderão conferir prazo adicional de até 5 (cinco) dias para complementação da documentação pelos beneficiários, desde que respeitado o prazo de análise a que se referem os incisos III e VI deste artigo.</w:t>
      </w:r>
    </w:p>
    <w:p w14:paraId="40A04896" w14:textId="77777777" w:rsidR="00CB2B4A" w:rsidRPr="00CB2B4A" w:rsidRDefault="00CB2B4A" w:rsidP="00CB2B4A">
      <w:pPr>
        <w:spacing w:before="60" w:after="60" w:line="240" w:lineRule="auto"/>
        <w:ind w:firstLine="1418"/>
        <w:jc w:val="both"/>
        <w:rPr>
          <w:rFonts w:cs="Helvetica"/>
        </w:rPr>
      </w:pPr>
      <w:r w:rsidRPr="00CB2B4A">
        <w:rPr>
          <w:rFonts w:cs="Helvetica"/>
        </w:rPr>
        <w:t>§ 4º - O início da execução das programações orçamentárias que não estejam impedidas tecnicamente não está condicionado ao término do prazo a que aludem os incisos III e VI deste artigo.</w:t>
      </w:r>
    </w:p>
    <w:p w14:paraId="600D73F0" w14:textId="77777777" w:rsidR="00CB2B4A" w:rsidRPr="00CB2B4A" w:rsidRDefault="00CB2B4A" w:rsidP="00CB2B4A">
      <w:pPr>
        <w:spacing w:before="60" w:after="60" w:line="240" w:lineRule="auto"/>
        <w:ind w:firstLine="1418"/>
        <w:jc w:val="both"/>
        <w:rPr>
          <w:rFonts w:cs="Helvetica"/>
        </w:rPr>
      </w:pPr>
      <w:r w:rsidRPr="00CB2B4A">
        <w:rPr>
          <w:rFonts w:cs="Helvetica"/>
        </w:rPr>
        <w:t>§ 5º - Caso o autor da emenda não solicite o remanejamento conforme o prazo estabelecido no inciso IV deste artigo, ou nos casos de impedimento de ordem técnica justificados, as programações orçamentárias previstas não serão de execução obrigatória e poderão ser remanejadas pelo Poder Executivo de acordo com autorização constante da Lei Orçamentária Anual.</w:t>
      </w:r>
    </w:p>
    <w:p w14:paraId="7F25A908" w14:textId="77777777" w:rsidR="00CB2B4A" w:rsidRPr="00CB2B4A" w:rsidRDefault="00CB2B4A" w:rsidP="00CB2B4A">
      <w:pPr>
        <w:spacing w:before="60" w:after="60" w:line="240" w:lineRule="auto"/>
        <w:ind w:firstLine="1418"/>
        <w:jc w:val="both"/>
        <w:rPr>
          <w:rFonts w:cs="Helvetica"/>
        </w:rPr>
      </w:pPr>
      <w:r w:rsidRPr="00CB2B4A">
        <w:rPr>
          <w:rFonts w:cs="Helvetica"/>
        </w:rPr>
        <w:t>SEÇÃO IX</w:t>
      </w:r>
    </w:p>
    <w:p w14:paraId="62D298DB" w14:textId="77777777" w:rsidR="00CB2B4A" w:rsidRPr="00CB2B4A" w:rsidRDefault="00CB2B4A" w:rsidP="00CB2B4A">
      <w:pPr>
        <w:spacing w:before="60" w:after="60" w:line="240" w:lineRule="auto"/>
        <w:ind w:firstLine="1418"/>
        <w:jc w:val="both"/>
        <w:rPr>
          <w:rFonts w:cs="Helvetica"/>
        </w:rPr>
      </w:pPr>
      <w:r w:rsidRPr="00CB2B4A">
        <w:rPr>
          <w:rFonts w:cs="Helvetica"/>
        </w:rPr>
        <w:t>Das Disposições Gerais</w:t>
      </w:r>
    </w:p>
    <w:p w14:paraId="443EFAA0" w14:textId="14C9683E" w:rsidR="00CB2B4A" w:rsidRPr="00063EE1" w:rsidRDefault="00CB2B4A" w:rsidP="00CB2B4A">
      <w:pPr>
        <w:spacing w:before="60" w:after="60" w:line="240" w:lineRule="auto"/>
        <w:ind w:firstLine="1418"/>
        <w:jc w:val="both"/>
        <w:rPr>
          <w:rFonts w:ascii="Calibri" w:hAnsi="Calibri" w:cs="Calibri"/>
          <w:b/>
          <w:bCs/>
        </w:rPr>
      </w:pPr>
      <w:r w:rsidRPr="00CB2B4A">
        <w:rPr>
          <w:rFonts w:cs="Helvetica"/>
        </w:rPr>
        <w:t>Artigo 24 - Os valores equivalentes às contribuições previdenciárias não repassados pelos órgãos e entidades estaduais à São Paulo Previdência - SPPREV e à Fundação de Previdência Complementar do Estado de São Paulo - SP-PREVCOM serão deduzidos, pela Secretaria da Fazenda e Planejamento, das liberações financeiras do Tesouro do Estado, consoante previsto no artigo 18 da Lei n º 17.387, de 22 de julho de 2022, que dispõe sobre as Diretrizes Orçamentárias para o exercício de 2022.</w:t>
      </w:r>
      <w:r w:rsidR="00063EE1">
        <w:rPr>
          <w:rFonts w:ascii="Calibri" w:hAnsi="Calibri" w:cs="Calibri"/>
        </w:rPr>
        <w:t xml:space="preserve"> </w:t>
      </w:r>
      <w:r w:rsidR="00063EE1">
        <w:rPr>
          <w:rFonts w:ascii="Calibri" w:hAnsi="Calibri" w:cs="Calibri"/>
          <w:b/>
          <w:bCs/>
        </w:rPr>
        <w:t>– retificação abaixo -</w:t>
      </w:r>
    </w:p>
    <w:p w14:paraId="04FFEB6E" w14:textId="77777777" w:rsidR="00063EE1" w:rsidRDefault="00063EE1" w:rsidP="00063EE1">
      <w:pPr>
        <w:autoSpaceDE w:val="0"/>
        <w:autoSpaceDN w:val="0"/>
        <w:adjustRightInd w:val="0"/>
        <w:spacing w:before="120" w:after="120" w:line="240" w:lineRule="auto"/>
        <w:ind w:firstLine="1418"/>
        <w:jc w:val="both"/>
        <w:rPr>
          <w:rFonts w:cs="Helvetica"/>
          <w:b/>
          <w:bCs/>
          <w:color w:val="000000"/>
        </w:rPr>
      </w:pPr>
      <w:r>
        <w:rPr>
          <w:rFonts w:cs="Helvetica"/>
          <w:b/>
          <w:bCs/>
          <w:color w:val="000000"/>
        </w:rPr>
        <w:t>No artigo 24, leia-se como segue e n</w:t>
      </w:r>
      <w:r>
        <w:rPr>
          <w:rFonts w:ascii="Calibri" w:hAnsi="Calibri" w:cs="Calibri"/>
          <w:b/>
          <w:bCs/>
          <w:color w:val="000000"/>
        </w:rPr>
        <w:t>ã</w:t>
      </w:r>
      <w:r>
        <w:rPr>
          <w:rFonts w:cs="Helvetica"/>
          <w:b/>
          <w:bCs/>
          <w:color w:val="000000"/>
        </w:rPr>
        <w:t xml:space="preserve">o como constou: </w:t>
      </w:r>
    </w:p>
    <w:p w14:paraId="0DAF332E" w14:textId="77777777" w:rsidR="00E91F61" w:rsidRPr="00AB7F19" w:rsidRDefault="00E91F61" w:rsidP="00E91F61">
      <w:pPr>
        <w:pStyle w:val="TextosemFormatao"/>
        <w:spacing w:beforeLines="60" w:before="144" w:afterLines="60" w:after="144"/>
        <w:ind w:firstLine="1418"/>
        <w:jc w:val="both"/>
        <w:rPr>
          <w:rFonts w:ascii="Helvetica" w:hAnsi="Helvetica" w:cs="Courier New"/>
          <w:sz w:val="22"/>
          <w:szCs w:val="22"/>
        </w:rPr>
      </w:pPr>
      <w:r w:rsidRPr="00AB7F19">
        <w:rPr>
          <w:rFonts w:ascii="Helvetica" w:hAnsi="Helvetica" w:cs="Courier New"/>
          <w:sz w:val="22"/>
          <w:szCs w:val="22"/>
        </w:rPr>
        <w:t xml:space="preserve">Artigo 24 - Os valores equivalentes </w:t>
      </w:r>
      <w:r w:rsidRPr="00AB7F19">
        <w:rPr>
          <w:rFonts w:ascii="Calibri" w:hAnsi="Calibri" w:cs="Calibri"/>
          <w:sz w:val="22"/>
          <w:szCs w:val="22"/>
        </w:rPr>
        <w:t>à</w:t>
      </w:r>
      <w:r w:rsidRPr="00AB7F19">
        <w:rPr>
          <w:rFonts w:ascii="Helvetica" w:hAnsi="Helvetica" w:cs="Courier New"/>
          <w:sz w:val="22"/>
          <w:szCs w:val="22"/>
        </w:rPr>
        <w:t>s contribui</w:t>
      </w:r>
      <w:r w:rsidRPr="00AB7F19">
        <w:rPr>
          <w:rFonts w:ascii="Calibri" w:hAnsi="Calibri" w:cs="Calibri"/>
          <w:sz w:val="22"/>
          <w:szCs w:val="22"/>
        </w:rPr>
        <w:t>çõ</w:t>
      </w:r>
      <w:r w:rsidRPr="00AB7F19">
        <w:rPr>
          <w:rFonts w:ascii="Helvetica" w:hAnsi="Helvetica" w:cs="Courier New"/>
          <w:sz w:val="22"/>
          <w:szCs w:val="22"/>
        </w:rPr>
        <w:t>es previdenci</w:t>
      </w:r>
      <w:r w:rsidRPr="00AB7F19">
        <w:rPr>
          <w:rFonts w:ascii="Calibri" w:hAnsi="Calibri" w:cs="Calibri"/>
          <w:sz w:val="22"/>
          <w:szCs w:val="22"/>
        </w:rPr>
        <w:t>á</w:t>
      </w:r>
      <w:r w:rsidRPr="00AB7F19">
        <w:rPr>
          <w:rFonts w:ascii="Helvetica" w:hAnsi="Helvetica" w:cs="Courier New"/>
          <w:sz w:val="22"/>
          <w:szCs w:val="22"/>
        </w:rPr>
        <w:t>rias n</w:t>
      </w:r>
      <w:r w:rsidRPr="00AB7F19">
        <w:rPr>
          <w:rFonts w:ascii="Calibri" w:hAnsi="Calibri" w:cs="Calibri"/>
          <w:sz w:val="22"/>
          <w:szCs w:val="22"/>
        </w:rPr>
        <w:t>ã</w:t>
      </w:r>
      <w:r w:rsidRPr="00AB7F19">
        <w:rPr>
          <w:rFonts w:ascii="Helvetica" w:hAnsi="Helvetica" w:cs="Courier New"/>
          <w:sz w:val="22"/>
          <w:szCs w:val="22"/>
        </w:rPr>
        <w:t xml:space="preserve">o repassados pelos </w:t>
      </w:r>
      <w:r w:rsidRPr="00AB7F19">
        <w:rPr>
          <w:rFonts w:ascii="Calibri" w:hAnsi="Calibri" w:cs="Calibri"/>
          <w:sz w:val="22"/>
          <w:szCs w:val="22"/>
        </w:rPr>
        <w:t>ó</w:t>
      </w:r>
      <w:r w:rsidRPr="00AB7F19">
        <w:rPr>
          <w:rFonts w:ascii="Helvetica" w:hAnsi="Helvetica" w:cs="Courier New"/>
          <w:sz w:val="22"/>
          <w:szCs w:val="22"/>
        </w:rPr>
        <w:t>rg</w:t>
      </w:r>
      <w:r w:rsidRPr="00AB7F19">
        <w:rPr>
          <w:rFonts w:ascii="Calibri" w:hAnsi="Calibri" w:cs="Calibri"/>
          <w:sz w:val="22"/>
          <w:szCs w:val="22"/>
        </w:rPr>
        <w:t>ã</w:t>
      </w:r>
      <w:r w:rsidRPr="00AB7F19">
        <w:rPr>
          <w:rFonts w:ascii="Helvetica" w:hAnsi="Helvetica" w:cs="Courier New"/>
          <w:sz w:val="22"/>
          <w:szCs w:val="22"/>
        </w:rPr>
        <w:t xml:space="preserve">os e entidades estaduais </w:t>
      </w:r>
      <w:r w:rsidRPr="00AB7F19">
        <w:rPr>
          <w:rFonts w:ascii="Calibri" w:hAnsi="Calibri" w:cs="Calibri"/>
          <w:sz w:val="22"/>
          <w:szCs w:val="22"/>
        </w:rPr>
        <w:t>à</w:t>
      </w:r>
      <w:r w:rsidRPr="00AB7F19">
        <w:rPr>
          <w:rFonts w:ascii="Helvetica" w:hAnsi="Helvetica" w:cs="Courier New"/>
          <w:sz w:val="22"/>
          <w:szCs w:val="22"/>
        </w:rPr>
        <w:t xml:space="preserve"> S</w:t>
      </w:r>
      <w:r w:rsidRPr="00AB7F19">
        <w:rPr>
          <w:rFonts w:ascii="Calibri" w:hAnsi="Calibri" w:cs="Calibri"/>
          <w:sz w:val="22"/>
          <w:szCs w:val="22"/>
        </w:rPr>
        <w:t>ã</w:t>
      </w:r>
      <w:r w:rsidRPr="00AB7F19">
        <w:rPr>
          <w:rFonts w:ascii="Helvetica" w:hAnsi="Helvetica" w:cs="Courier New"/>
          <w:sz w:val="22"/>
          <w:szCs w:val="22"/>
        </w:rPr>
        <w:t>o Paulo Previd</w:t>
      </w:r>
      <w:r w:rsidRPr="00AB7F19">
        <w:rPr>
          <w:rFonts w:ascii="Calibri" w:hAnsi="Calibri" w:cs="Calibri"/>
          <w:sz w:val="22"/>
          <w:szCs w:val="22"/>
        </w:rPr>
        <w:t>ê</w:t>
      </w:r>
      <w:r w:rsidRPr="00AB7F19">
        <w:rPr>
          <w:rFonts w:ascii="Helvetica" w:hAnsi="Helvetica" w:cs="Courier New"/>
          <w:sz w:val="22"/>
          <w:szCs w:val="22"/>
        </w:rPr>
        <w:t xml:space="preserve">ncia - SPPREV e </w:t>
      </w:r>
      <w:r w:rsidRPr="00AB7F19">
        <w:rPr>
          <w:rFonts w:ascii="Calibri" w:hAnsi="Calibri" w:cs="Calibri"/>
          <w:sz w:val="22"/>
          <w:szCs w:val="22"/>
        </w:rPr>
        <w:t>à</w:t>
      </w:r>
      <w:r w:rsidRPr="00AB7F19">
        <w:rPr>
          <w:rFonts w:ascii="Helvetica" w:hAnsi="Helvetica" w:cs="Courier New"/>
          <w:sz w:val="22"/>
          <w:szCs w:val="22"/>
        </w:rPr>
        <w:t xml:space="preserve"> Funda</w:t>
      </w:r>
      <w:r w:rsidRPr="00AB7F19">
        <w:rPr>
          <w:rFonts w:ascii="Calibri" w:hAnsi="Calibri" w:cs="Calibri"/>
          <w:sz w:val="22"/>
          <w:szCs w:val="22"/>
        </w:rPr>
        <w:t>çã</w:t>
      </w:r>
      <w:r w:rsidRPr="00AB7F19">
        <w:rPr>
          <w:rFonts w:ascii="Helvetica" w:hAnsi="Helvetica" w:cs="Courier New"/>
          <w:sz w:val="22"/>
          <w:szCs w:val="22"/>
        </w:rPr>
        <w:t>o de Previd</w:t>
      </w:r>
      <w:r w:rsidRPr="00AB7F19">
        <w:rPr>
          <w:rFonts w:ascii="Calibri" w:hAnsi="Calibri" w:cs="Calibri"/>
          <w:sz w:val="22"/>
          <w:szCs w:val="22"/>
        </w:rPr>
        <w:t>ê</w:t>
      </w:r>
      <w:r w:rsidRPr="00AB7F19">
        <w:rPr>
          <w:rFonts w:ascii="Helvetica" w:hAnsi="Helvetica" w:cs="Courier New"/>
          <w:sz w:val="22"/>
          <w:szCs w:val="22"/>
        </w:rPr>
        <w:t>ncia Complementar do Estado de S</w:t>
      </w:r>
      <w:r w:rsidRPr="00AB7F19">
        <w:rPr>
          <w:rFonts w:ascii="Calibri" w:hAnsi="Calibri" w:cs="Calibri"/>
          <w:sz w:val="22"/>
          <w:szCs w:val="22"/>
        </w:rPr>
        <w:t>ã</w:t>
      </w:r>
      <w:r w:rsidRPr="00AB7F19">
        <w:rPr>
          <w:rFonts w:ascii="Helvetica" w:hAnsi="Helvetica" w:cs="Courier New"/>
          <w:sz w:val="22"/>
          <w:szCs w:val="22"/>
        </w:rPr>
        <w:t>o Paulo - SP-PREVCOM ser</w:t>
      </w:r>
      <w:r w:rsidRPr="00AB7F19">
        <w:rPr>
          <w:rFonts w:ascii="Calibri" w:hAnsi="Calibri" w:cs="Calibri"/>
          <w:sz w:val="22"/>
          <w:szCs w:val="22"/>
        </w:rPr>
        <w:t>ã</w:t>
      </w:r>
      <w:r w:rsidRPr="00AB7F19">
        <w:rPr>
          <w:rFonts w:ascii="Helvetica" w:hAnsi="Helvetica" w:cs="Courier New"/>
          <w:sz w:val="22"/>
          <w:szCs w:val="22"/>
        </w:rPr>
        <w:t>o deduzidos, pela Secretaria da Fazenda e Planejamento, das libera</w:t>
      </w:r>
      <w:r w:rsidRPr="00AB7F19">
        <w:rPr>
          <w:rFonts w:ascii="Calibri" w:hAnsi="Calibri" w:cs="Calibri"/>
          <w:sz w:val="22"/>
          <w:szCs w:val="22"/>
        </w:rPr>
        <w:t>çõ</w:t>
      </w:r>
      <w:r w:rsidRPr="00AB7F19">
        <w:rPr>
          <w:rFonts w:ascii="Helvetica" w:hAnsi="Helvetica" w:cs="Courier New"/>
          <w:sz w:val="22"/>
          <w:szCs w:val="22"/>
        </w:rPr>
        <w:t xml:space="preserve">es financeiras do Tesouro do </w:t>
      </w:r>
      <w:r w:rsidRPr="00AB7F19">
        <w:rPr>
          <w:rFonts w:ascii="Helvetica" w:hAnsi="Helvetica" w:cs="Courier New"/>
          <w:sz w:val="22"/>
          <w:szCs w:val="22"/>
        </w:rPr>
        <w:lastRenderedPageBreak/>
        <w:t>Estado, consoante previsto no artigo 18 da Lei n</w:t>
      </w:r>
      <w:r w:rsidRPr="00AB7F19">
        <w:rPr>
          <w:rFonts w:ascii="Calibri" w:hAnsi="Calibri" w:cs="Calibri"/>
          <w:sz w:val="22"/>
          <w:szCs w:val="22"/>
        </w:rPr>
        <w:t>º</w:t>
      </w:r>
      <w:r w:rsidRPr="00AB7F19">
        <w:rPr>
          <w:rFonts w:ascii="Helvetica" w:hAnsi="Helvetica" w:cs="Courier New"/>
          <w:sz w:val="22"/>
          <w:szCs w:val="22"/>
        </w:rPr>
        <w:t xml:space="preserve"> 17.387, de 22 de julho de 2021, que disp</w:t>
      </w:r>
      <w:r w:rsidRPr="00AB7F19">
        <w:rPr>
          <w:rFonts w:ascii="Calibri" w:hAnsi="Calibri" w:cs="Calibri"/>
          <w:sz w:val="22"/>
          <w:szCs w:val="22"/>
        </w:rPr>
        <w:t>õ</w:t>
      </w:r>
      <w:r w:rsidRPr="00AB7F19">
        <w:rPr>
          <w:rFonts w:ascii="Helvetica" w:hAnsi="Helvetica" w:cs="Courier New"/>
          <w:sz w:val="22"/>
          <w:szCs w:val="22"/>
        </w:rPr>
        <w:t>e sobre as Diretrizes Or</w:t>
      </w:r>
      <w:r w:rsidRPr="00AB7F19">
        <w:rPr>
          <w:rFonts w:ascii="Calibri" w:hAnsi="Calibri" w:cs="Calibri"/>
          <w:sz w:val="22"/>
          <w:szCs w:val="22"/>
        </w:rPr>
        <w:t>ç</w:t>
      </w:r>
      <w:r w:rsidRPr="00AB7F19">
        <w:rPr>
          <w:rFonts w:ascii="Helvetica" w:hAnsi="Helvetica" w:cs="Courier New"/>
          <w:sz w:val="22"/>
          <w:szCs w:val="22"/>
        </w:rPr>
        <w:t>ament</w:t>
      </w:r>
      <w:r w:rsidRPr="00AB7F19">
        <w:rPr>
          <w:rFonts w:ascii="Calibri" w:hAnsi="Calibri" w:cs="Calibri"/>
          <w:sz w:val="22"/>
          <w:szCs w:val="22"/>
        </w:rPr>
        <w:t>á</w:t>
      </w:r>
      <w:r w:rsidRPr="00AB7F19">
        <w:rPr>
          <w:rFonts w:ascii="Helvetica" w:hAnsi="Helvetica" w:cs="Courier New"/>
          <w:sz w:val="22"/>
          <w:szCs w:val="22"/>
        </w:rPr>
        <w:t>rias para o exerc</w:t>
      </w:r>
      <w:r w:rsidRPr="00AB7F19">
        <w:rPr>
          <w:rFonts w:ascii="Calibri" w:hAnsi="Calibri" w:cs="Calibri"/>
          <w:sz w:val="22"/>
          <w:szCs w:val="22"/>
        </w:rPr>
        <w:t>í</w:t>
      </w:r>
      <w:r w:rsidRPr="00AB7F19">
        <w:rPr>
          <w:rFonts w:ascii="Helvetica" w:hAnsi="Helvetica" w:cs="Courier New"/>
          <w:sz w:val="22"/>
          <w:szCs w:val="22"/>
        </w:rPr>
        <w:t>cio de 2022.</w:t>
      </w:r>
    </w:p>
    <w:p w14:paraId="3F21A9A3" w14:textId="1FF2EA56" w:rsidR="00CB2B4A" w:rsidRPr="00CB2B4A" w:rsidRDefault="00CB2B4A" w:rsidP="00CB2B4A">
      <w:pPr>
        <w:spacing w:before="60" w:after="60" w:line="240" w:lineRule="auto"/>
        <w:ind w:firstLine="1418"/>
        <w:jc w:val="both"/>
        <w:rPr>
          <w:rFonts w:cs="Helvetica"/>
        </w:rPr>
      </w:pPr>
      <w:r w:rsidRPr="00CB2B4A">
        <w:rPr>
          <w:rFonts w:cs="Helvetica"/>
        </w:rPr>
        <w:t>Artigo 25 - Para efeito do disposto no artigo 42 da Lei Complementar federal n°101, de 4 de maio de 2000, considera-se: </w:t>
      </w:r>
    </w:p>
    <w:p w14:paraId="0975A012" w14:textId="77777777" w:rsidR="00CB2B4A" w:rsidRPr="00CB2B4A" w:rsidRDefault="00CB2B4A" w:rsidP="00CB2B4A">
      <w:pPr>
        <w:spacing w:before="60" w:after="60" w:line="240" w:lineRule="auto"/>
        <w:ind w:firstLine="1418"/>
        <w:jc w:val="both"/>
        <w:rPr>
          <w:rFonts w:cs="Helvetica"/>
        </w:rPr>
      </w:pPr>
      <w:r w:rsidRPr="00CB2B4A">
        <w:rPr>
          <w:rFonts w:cs="Helvetica"/>
        </w:rPr>
        <w:t>I - contraída, a obrigação no momento da formalização do contrato administrativo ou instrumento congênere; </w:t>
      </w:r>
    </w:p>
    <w:p w14:paraId="008A7B74" w14:textId="77777777" w:rsidR="00CB2B4A" w:rsidRPr="00CB2B4A" w:rsidRDefault="00CB2B4A" w:rsidP="00CB2B4A">
      <w:pPr>
        <w:spacing w:before="60" w:after="60" w:line="240" w:lineRule="auto"/>
        <w:ind w:firstLine="1418"/>
        <w:jc w:val="both"/>
        <w:rPr>
          <w:rFonts w:cs="Helvetica"/>
        </w:rPr>
      </w:pPr>
      <w:r w:rsidRPr="00CB2B4A">
        <w:rPr>
          <w:rFonts w:cs="Helvetica"/>
        </w:rPr>
        <w:t>II - despesa compromissada, apenas o montante cujo pagamento deva se verificar no exercício financeiro, observado o cronograma de pagamento. </w:t>
      </w:r>
    </w:p>
    <w:p w14:paraId="5BAECB5C" w14:textId="77777777" w:rsidR="00CB2B4A" w:rsidRPr="00CB2B4A" w:rsidRDefault="00CB2B4A" w:rsidP="00CB2B4A">
      <w:pPr>
        <w:spacing w:before="60" w:after="60" w:line="240" w:lineRule="auto"/>
        <w:ind w:firstLine="1418"/>
        <w:jc w:val="both"/>
        <w:rPr>
          <w:rFonts w:cs="Helvetica"/>
        </w:rPr>
      </w:pPr>
      <w:r w:rsidRPr="00CB2B4A">
        <w:rPr>
          <w:rFonts w:cs="Helvetica"/>
        </w:rPr>
        <w:t>Parágrafo único - No caso de serviços contínuos e necessários à manutenção da Administração, a obrigação considera-se contraída com a execução da prestação correspondente, desde que o contrato permita a denúncia unilateral pela Administração, sem qualquer ônus, a ser manifestada até 4 (quatro) meses após o início do exercício financeiro subsequente à celebração.</w:t>
      </w:r>
    </w:p>
    <w:p w14:paraId="5BBC676E" w14:textId="77777777" w:rsidR="00CB2B4A" w:rsidRPr="00CB2B4A" w:rsidRDefault="00CB2B4A" w:rsidP="00CB2B4A">
      <w:pPr>
        <w:spacing w:before="60" w:after="60" w:line="240" w:lineRule="auto"/>
        <w:ind w:firstLine="1418"/>
        <w:jc w:val="both"/>
        <w:rPr>
          <w:rFonts w:cs="Helvetica"/>
        </w:rPr>
      </w:pPr>
      <w:r w:rsidRPr="00CB2B4A">
        <w:rPr>
          <w:rFonts w:cs="Helvetica"/>
        </w:rPr>
        <w:t>Artigo 26 - Os órgãos e entidades da Administração direta e indireta do Estado devem, obrigatoriamente, consultar previamente o Cadastro Informativo dos Créditos não Quitados de Órgãos e Entidades Estaduais - CADIN ESTADUAL quando da celebração de quaisquer ajustes (acordos, contratos, convênios etc.), concessão de auxílios, incentivos, pagamentos ou repasses financeiros, nos termos do artigo 6º da Lei nº 12.799, de 11 de janeiro de 2008, regulamentada pelo Decreto nº 53.455, de 19 de setembro de 2008.</w:t>
      </w:r>
    </w:p>
    <w:p w14:paraId="65D8D88D" w14:textId="77777777" w:rsidR="00CB2B4A" w:rsidRPr="00CB2B4A" w:rsidRDefault="00CB2B4A" w:rsidP="00CB2B4A">
      <w:pPr>
        <w:spacing w:before="60" w:after="60" w:line="240" w:lineRule="auto"/>
        <w:ind w:firstLine="1418"/>
        <w:jc w:val="both"/>
        <w:rPr>
          <w:rFonts w:cs="Helvetica"/>
        </w:rPr>
      </w:pPr>
      <w:r w:rsidRPr="00CB2B4A">
        <w:rPr>
          <w:rFonts w:cs="Helvetica"/>
        </w:rPr>
        <w:t>Parágrafo único - Os contratos, convênios, acordos, ou quaisquer outros ajustes deverão conter cláusula específica condicionando os pagamentos ou a liberação de recursos à inexistência de registros em nome dos respectivos beneficiários junto ao CADIN ESTADUAL.</w:t>
      </w:r>
    </w:p>
    <w:p w14:paraId="4AF88126" w14:textId="77777777" w:rsidR="00CB2B4A" w:rsidRPr="00CB2B4A" w:rsidRDefault="00CB2B4A" w:rsidP="00CB2B4A">
      <w:pPr>
        <w:spacing w:before="60" w:after="60" w:line="240" w:lineRule="auto"/>
        <w:ind w:firstLine="1418"/>
        <w:jc w:val="both"/>
        <w:rPr>
          <w:rFonts w:cs="Helvetica"/>
        </w:rPr>
      </w:pPr>
      <w:r w:rsidRPr="00CB2B4A">
        <w:rPr>
          <w:rFonts w:cs="Helvetica"/>
        </w:rPr>
        <w:t>Artigo 27 - Antes da celebração ou assinatura de convênios ou quaisquer outros tipos de avenças com entidades da sociedade civil sem fins lucrativos, as Unidades Gestoras, de que trata o artigo 3º deste decreto, deverão obrigatoriamente cumprir, no âmbito de suas atribuições, o disposto no Decreto nº 57.501, de 8 de novembro de 2011, regulamentado pela Resolução CC-6, de 14 de janeiro de 2013.</w:t>
      </w:r>
    </w:p>
    <w:p w14:paraId="3A7F662C" w14:textId="77777777" w:rsidR="00CB2B4A" w:rsidRPr="00CB2B4A" w:rsidRDefault="00CB2B4A" w:rsidP="00CB2B4A">
      <w:pPr>
        <w:spacing w:before="60" w:after="60" w:line="240" w:lineRule="auto"/>
        <w:ind w:firstLine="1418"/>
        <w:jc w:val="both"/>
        <w:rPr>
          <w:rFonts w:cs="Helvetica"/>
        </w:rPr>
      </w:pPr>
      <w:r w:rsidRPr="00CB2B4A">
        <w:rPr>
          <w:rFonts w:cs="Helvetica"/>
        </w:rPr>
        <w:t>Artigo 28 - Em cumprimento ao disposto no § 1º do artigo 22 da Lei nº 17.387, de 22 de julho de 2021, que dispõe sobre as Diretrizes Orçamentárias para 2022, os órgãos e entidades da Administração direta e indireta que, na fase de elaboração da Proposta Orçamentária de 2022, apropriaram parcela de dotações de investimentos na categoria "a definir" deverão, por ocasião do empenhamento, seguir os procedimentos estabelecidos pela Secretaria de Orçamento e Gestão.</w:t>
      </w:r>
    </w:p>
    <w:p w14:paraId="447F77E2" w14:textId="77777777" w:rsidR="00CB2B4A" w:rsidRPr="00CB2B4A" w:rsidRDefault="00CB2B4A" w:rsidP="00CB2B4A">
      <w:pPr>
        <w:spacing w:before="60" w:after="60" w:line="240" w:lineRule="auto"/>
        <w:ind w:firstLine="1418"/>
        <w:jc w:val="both"/>
        <w:rPr>
          <w:rFonts w:cs="Helvetica"/>
        </w:rPr>
      </w:pPr>
      <w:r w:rsidRPr="00CB2B4A">
        <w:rPr>
          <w:rFonts w:cs="Helvetica"/>
        </w:rPr>
        <w:t>Artigo 29 - Os recursos financeiros transferidos pelo Tesouro do Estado, a título de dotação para constituição ou aumento de capital deverão obrigatoriamente ser executados no SIAFEM/SP, ficando vedada a transferência desses recursos à conta movimento da entidade não dependente.</w:t>
      </w:r>
    </w:p>
    <w:p w14:paraId="6926E108" w14:textId="77777777" w:rsidR="00CB2B4A" w:rsidRPr="00CB2B4A" w:rsidRDefault="00CB2B4A" w:rsidP="00CB2B4A">
      <w:pPr>
        <w:spacing w:before="60" w:after="60" w:line="240" w:lineRule="auto"/>
        <w:ind w:firstLine="1418"/>
        <w:jc w:val="both"/>
        <w:rPr>
          <w:rFonts w:cs="Helvetica"/>
        </w:rPr>
      </w:pPr>
      <w:r w:rsidRPr="00CB2B4A">
        <w:rPr>
          <w:rFonts w:cs="Helvetica"/>
        </w:rPr>
        <w:t>Artigo 30 - A liberação da dotação contingenciada será gradativa, levando em conta o Programa de Metas, o estágio do projeto, seu impacto socioeconômico e a disponibilidade financeira do Estado.</w:t>
      </w:r>
    </w:p>
    <w:p w14:paraId="1393D822" w14:textId="77777777" w:rsidR="00CB2B4A" w:rsidRPr="00CB2B4A" w:rsidRDefault="00CB2B4A" w:rsidP="00CB2B4A">
      <w:pPr>
        <w:spacing w:before="60" w:after="60" w:line="240" w:lineRule="auto"/>
        <w:ind w:firstLine="1418"/>
        <w:jc w:val="both"/>
        <w:rPr>
          <w:rFonts w:cs="Helvetica"/>
        </w:rPr>
      </w:pPr>
      <w:r w:rsidRPr="00CB2B4A">
        <w:rPr>
          <w:rFonts w:cs="Helvetica"/>
        </w:rPr>
        <w:t>CAPÍTULO II</w:t>
      </w:r>
    </w:p>
    <w:p w14:paraId="29D75D3B" w14:textId="77777777" w:rsidR="00CB2B4A" w:rsidRPr="00CB2B4A" w:rsidRDefault="00CB2B4A" w:rsidP="00CB2B4A">
      <w:pPr>
        <w:spacing w:before="60" w:after="60" w:line="240" w:lineRule="auto"/>
        <w:ind w:firstLine="1418"/>
        <w:jc w:val="both"/>
        <w:rPr>
          <w:rFonts w:cs="Helvetica"/>
        </w:rPr>
      </w:pPr>
      <w:r w:rsidRPr="00CB2B4A">
        <w:rPr>
          <w:rFonts w:cs="Helvetica"/>
        </w:rPr>
        <w:t>Das Atribuições e Competências</w:t>
      </w:r>
    </w:p>
    <w:p w14:paraId="462061D9" w14:textId="77777777" w:rsidR="00CB2B4A" w:rsidRPr="00CB2B4A" w:rsidRDefault="00CB2B4A" w:rsidP="00CB2B4A">
      <w:pPr>
        <w:spacing w:before="60" w:after="60" w:line="240" w:lineRule="auto"/>
        <w:ind w:firstLine="1418"/>
        <w:jc w:val="both"/>
        <w:rPr>
          <w:rFonts w:cs="Helvetica"/>
        </w:rPr>
      </w:pPr>
      <w:r w:rsidRPr="00CB2B4A">
        <w:rPr>
          <w:rFonts w:cs="Helvetica"/>
        </w:rPr>
        <w:t>Artigo 31 - Para cumprimento do disposto neste decreto ficam estabelecidas as seguintes atribuições:</w:t>
      </w:r>
    </w:p>
    <w:p w14:paraId="63568B43" w14:textId="77777777" w:rsidR="00CB2B4A" w:rsidRPr="00CB2B4A" w:rsidRDefault="00CB2B4A" w:rsidP="00CB2B4A">
      <w:pPr>
        <w:spacing w:before="60" w:after="60" w:line="240" w:lineRule="auto"/>
        <w:ind w:firstLine="1418"/>
        <w:jc w:val="both"/>
        <w:rPr>
          <w:rFonts w:cs="Helvetica"/>
        </w:rPr>
      </w:pPr>
      <w:r w:rsidRPr="00CB2B4A">
        <w:rPr>
          <w:rFonts w:cs="Helvetica"/>
        </w:rPr>
        <w:t>I - à Secretaria da Fazenda e Planejamento:</w:t>
      </w:r>
    </w:p>
    <w:p w14:paraId="0A29637B" w14:textId="77777777" w:rsidR="00CB2B4A" w:rsidRPr="00CB2B4A" w:rsidRDefault="00CB2B4A" w:rsidP="00CB2B4A">
      <w:pPr>
        <w:spacing w:before="60" w:after="60" w:line="240" w:lineRule="auto"/>
        <w:ind w:firstLine="1418"/>
        <w:jc w:val="both"/>
        <w:rPr>
          <w:rFonts w:cs="Helvetica"/>
        </w:rPr>
      </w:pPr>
      <w:r w:rsidRPr="00CB2B4A">
        <w:rPr>
          <w:rFonts w:cs="Helvetica"/>
        </w:rPr>
        <w:lastRenderedPageBreak/>
        <w:t>a) detalhar a receita e aprovar sua alteração, de acordo com o parágrafo único, do artigo 3º da Lei nº 17.498, de 29 de dezembro de 2021;</w:t>
      </w:r>
    </w:p>
    <w:p w14:paraId="70DA2CDD" w14:textId="77777777" w:rsidR="00CB2B4A" w:rsidRPr="00CB2B4A" w:rsidRDefault="00CB2B4A" w:rsidP="00CB2B4A">
      <w:pPr>
        <w:spacing w:before="60" w:after="60" w:line="240" w:lineRule="auto"/>
        <w:ind w:firstLine="1418"/>
        <w:jc w:val="both"/>
        <w:rPr>
          <w:rFonts w:cs="Helvetica"/>
        </w:rPr>
      </w:pPr>
      <w:r w:rsidRPr="00CB2B4A">
        <w:rPr>
          <w:rFonts w:cs="Helvetica"/>
        </w:rPr>
        <w:t>b) manifestar-se quanto aos efeitos de ordem financeira decorrentes da concessão de créditos adicionais;</w:t>
      </w:r>
    </w:p>
    <w:p w14:paraId="7CF8098D" w14:textId="77777777" w:rsidR="00CB2B4A" w:rsidRPr="00CB2B4A" w:rsidRDefault="00CB2B4A" w:rsidP="00CB2B4A">
      <w:pPr>
        <w:spacing w:before="60" w:after="60" w:line="240" w:lineRule="auto"/>
        <w:ind w:firstLine="1418"/>
        <w:jc w:val="both"/>
        <w:rPr>
          <w:rFonts w:cs="Helvetica"/>
        </w:rPr>
      </w:pPr>
      <w:r w:rsidRPr="00CB2B4A">
        <w:rPr>
          <w:rFonts w:cs="Helvetica"/>
        </w:rPr>
        <w:t>c) manifestar-se quanto ao provável excesso de arrecadação de recursos, bem como sobre o superávit financeiro apurado no balanço patrimonial do exercício anterior;</w:t>
      </w:r>
    </w:p>
    <w:p w14:paraId="52935C62" w14:textId="77777777" w:rsidR="00CB2B4A" w:rsidRPr="00CB2B4A" w:rsidRDefault="00CB2B4A" w:rsidP="00CB2B4A">
      <w:pPr>
        <w:spacing w:before="60" w:after="60" w:line="240" w:lineRule="auto"/>
        <w:ind w:firstLine="1418"/>
        <w:jc w:val="both"/>
        <w:rPr>
          <w:rFonts w:cs="Helvetica"/>
        </w:rPr>
      </w:pPr>
      <w:r w:rsidRPr="00CB2B4A">
        <w:rPr>
          <w:rFonts w:cs="Helvetica"/>
        </w:rPr>
        <w:t>d) normatizar sobre receitas e procedimentos orçamentários, contábeis e financeiros no SIAFEM/SP;</w:t>
      </w:r>
    </w:p>
    <w:p w14:paraId="7A4C06AC" w14:textId="77777777" w:rsidR="00CB2B4A" w:rsidRPr="00CB2B4A" w:rsidRDefault="00CB2B4A" w:rsidP="00CB2B4A">
      <w:pPr>
        <w:spacing w:before="60" w:after="60" w:line="240" w:lineRule="auto"/>
        <w:ind w:firstLine="1418"/>
        <w:jc w:val="both"/>
        <w:rPr>
          <w:rFonts w:cs="Helvetica"/>
        </w:rPr>
      </w:pPr>
      <w:r w:rsidRPr="00CB2B4A">
        <w:rPr>
          <w:rFonts w:cs="Helvetica"/>
        </w:rPr>
        <w:t>e) fixar diretrizes para o processamento de pagamento da despesa de pessoal dos órgãos do Poder Executivo da Administração direta do Estado;</w:t>
      </w:r>
    </w:p>
    <w:p w14:paraId="51A8E3FA" w14:textId="77777777" w:rsidR="00CB2B4A" w:rsidRPr="00CB2B4A" w:rsidRDefault="00CB2B4A" w:rsidP="00CB2B4A">
      <w:pPr>
        <w:spacing w:before="60" w:after="60" w:line="240" w:lineRule="auto"/>
        <w:ind w:firstLine="1418"/>
        <w:jc w:val="both"/>
        <w:rPr>
          <w:rFonts w:cs="Helvetica"/>
        </w:rPr>
      </w:pPr>
      <w:r w:rsidRPr="00CB2B4A">
        <w:rPr>
          <w:rFonts w:cs="Helvetica"/>
        </w:rPr>
        <w:t>II- à Secretaria de Orçamento e Gestão:</w:t>
      </w:r>
    </w:p>
    <w:p w14:paraId="573ED273" w14:textId="77777777" w:rsidR="00CB2B4A" w:rsidRPr="00CB2B4A" w:rsidRDefault="00CB2B4A" w:rsidP="00CB2B4A">
      <w:pPr>
        <w:spacing w:before="60" w:after="60" w:line="240" w:lineRule="auto"/>
        <w:ind w:firstLine="1418"/>
        <w:jc w:val="both"/>
        <w:rPr>
          <w:rFonts w:cs="Helvetica"/>
        </w:rPr>
      </w:pPr>
      <w:r w:rsidRPr="00CB2B4A">
        <w:rPr>
          <w:rFonts w:cs="Helvetica"/>
        </w:rPr>
        <w:t>a) normatizar sobre procedimentos de execução e acompanhamento orçamentário da despesa de programas, atividades e projetos;</w:t>
      </w:r>
    </w:p>
    <w:p w14:paraId="201C5D72" w14:textId="77777777" w:rsidR="00CB2B4A" w:rsidRPr="00CB2B4A" w:rsidRDefault="00CB2B4A" w:rsidP="00CB2B4A">
      <w:pPr>
        <w:spacing w:before="60" w:after="60" w:line="240" w:lineRule="auto"/>
        <w:ind w:firstLine="1418"/>
        <w:jc w:val="both"/>
        <w:rPr>
          <w:rFonts w:cs="Helvetica"/>
        </w:rPr>
      </w:pPr>
      <w:r w:rsidRPr="00CB2B4A">
        <w:rPr>
          <w:rFonts w:cs="Helvetica"/>
        </w:rPr>
        <w:t>b) decidir sobre os pedidos de reprogramação entre elementos;</w:t>
      </w:r>
    </w:p>
    <w:p w14:paraId="7B39A5D1" w14:textId="77777777" w:rsidR="00CB2B4A" w:rsidRPr="00CB2B4A" w:rsidRDefault="00CB2B4A" w:rsidP="00CB2B4A">
      <w:pPr>
        <w:spacing w:before="60" w:after="60" w:line="240" w:lineRule="auto"/>
        <w:ind w:firstLine="1418"/>
        <w:jc w:val="both"/>
        <w:rPr>
          <w:rFonts w:cs="Helvetica"/>
        </w:rPr>
      </w:pPr>
      <w:r w:rsidRPr="00CB2B4A">
        <w:rPr>
          <w:rFonts w:cs="Helvetica"/>
        </w:rPr>
        <w:t>c) manifestar-se sobre  o mérito dos pedidos de créditos adicionais, quanto aos efeitos de ordem orçamentária;</w:t>
      </w:r>
    </w:p>
    <w:p w14:paraId="6D9B4719" w14:textId="77777777" w:rsidR="00CB2B4A" w:rsidRPr="00CB2B4A" w:rsidRDefault="00CB2B4A" w:rsidP="00CB2B4A">
      <w:pPr>
        <w:spacing w:before="60" w:after="60" w:line="240" w:lineRule="auto"/>
        <w:ind w:firstLine="1418"/>
        <w:jc w:val="both"/>
        <w:rPr>
          <w:rFonts w:cs="Helvetica"/>
        </w:rPr>
      </w:pPr>
      <w:r w:rsidRPr="00CB2B4A">
        <w:rPr>
          <w:rFonts w:cs="Helvetica"/>
        </w:rPr>
        <w:t>III - à Secretaria de Governo, manifestar-se quanto à compatibilidade dos pedidos de créditos adicionais com as diretrizes governamentais;</w:t>
      </w:r>
    </w:p>
    <w:p w14:paraId="790373CD" w14:textId="77777777" w:rsidR="00CB2B4A" w:rsidRPr="00CB2B4A" w:rsidRDefault="00CB2B4A" w:rsidP="00CB2B4A">
      <w:pPr>
        <w:spacing w:before="60" w:after="60" w:line="240" w:lineRule="auto"/>
        <w:ind w:firstLine="1418"/>
        <w:jc w:val="both"/>
        <w:rPr>
          <w:rFonts w:cs="Helvetica"/>
        </w:rPr>
      </w:pPr>
      <w:r w:rsidRPr="00CB2B4A">
        <w:rPr>
          <w:rFonts w:cs="Helvetica"/>
        </w:rPr>
        <w:t>IV - às Secretarias de Orçamento e Gestão e da Fazenda e Planejamento, decidir, em conjunto sobre os pedidos de antecipação de quotas;</w:t>
      </w:r>
    </w:p>
    <w:p w14:paraId="147E8B11" w14:textId="77777777" w:rsidR="00CB2B4A" w:rsidRPr="00CB2B4A" w:rsidRDefault="00CB2B4A" w:rsidP="00CB2B4A">
      <w:pPr>
        <w:spacing w:before="60" w:after="60" w:line="240" w:lineRule="auto"/>
        <w:ind w:firstLine="1418"/>
        <w:jc w:val="both"/>
        <w:rPr>
          <w:rFonts w:cs="Helvetica"/>
        </w:rPr>
      </w:pPr>
      <w:r w:rsidRPr="00CB2B4A">
        <w:rPr>
          <w:rFonts w:cs="Helvetica"/>
        </w:rPr>
        <w:t>V - às Secretarias de Orçamento e Gestão e de Governo, submeter, à aprovação do Governador, a instituição ou supressão de unidades orçamentárias e unidades de despesa, bem como outras alterações na classificação institucional dos órgãos componentes do Sistema de Administração Financeira e Orçamentária -SAFO;</w:t>
      </w:r>
    </w:p>
    <w:p w14:paraId="55A9CDF0" w14:textId="77777777" w:rsidR="00CB2B4A" w:rsidRPr="00CB2B4A" w:rsidRDefault="00CB2B4A" w:rsidP="00CB2B4A">
      <w:pPr>
        <w:spacing w:before="60" w:after="60" w:line="240" w:lineRule="auto"/>
        <w:ind w:firstLine="1418"/>
        <w:jc w:val="both"/>
        <w:rPr>
          <w:rFonts w:cs="Helvetica"/>
        </w:rPr>
      </w:pPr>
      <w:r w:rsidRPr="00CB2B4A">
        <w:rPr>
          <w:rFonts w:cs="Helvetica"/>
        </w:rPr>
        <w:t>VI - às Secretarias de Orçamento e Gestão, da Fazenda e Planejamento e de Governo:</w:t>
      </w:r>
    </w:p>
    <w:p w14:paraId="6E4E43F4" w14:textId="77777777" w:rsidR="00CB2B4A" w:rsidRPr="00CB2B4A" w:rsidRDefault="00CB2B4A" w:rsidP="00CB2B4A">
      <w:pPr>
        <w:spacing w:before="60" w:after="60" w:line="240" w:lineRule="auto"/>
        <w:ind w:firstLine="1418"/>
        <w:jc w:val="both"/>
        <w:rPr>
          <w:rFonts w:cs="Helvetica"/>
        </w:rPr>
      </w:pPr>
      <w:r w:rsidRPr="00CB2B4A">
        <w:rPr>
          <w:rFonts w:cs="Helvetica"/>
        </w:rPr>
        <w:t>a) propor ao Governador a concessão de  créditos adicionais;</w:t>
      </w:r>
    </w:p>
    <w:p w14:paraId="4B91EAB1" w14:textId="77777777" w:rsidR="00CB2B4A" w:rsidRPr="00CB2B4A" w:rsidRDefault="00CB2B4A" w:rsidP="00CB2B4A">
      <w:pPr>
        <w:spacing w:before="60" w:after="60" w:line="240" w:lineRule="auto"/>
        <w:ind w:firstLine="1418"/>
        <w:jc w:val="both"/>
        <w:rPr>
          <w:rFonts w:cs="Helvetica"/>
        </w:rPr>
      </w:pPr>
      <w:r w:rsidRPr="00CB2B4A">
        <w:rPr>
          <w:rFonts w:cs="Helvetica"/>
        </w:rPr>
        <w:t>b) decidir, em conjunto sobre a liberação da dotação contingenciada, assim como sobre casos especiais.</w:t>
      </w:r>
    </w:p>
    <w:p w14:paraId="37E5564D" w14:textId="77777777" w:rsidR="00CB2B4A" w:rsidRPr="00CB2B4A" w:rsidRDefault="00CB2B4A" w:rsidP="00CB2B4A">
      <w:pPr>
        <w:spacing w:before="60" w:after="60" w:line="240" w:lineRule="auto"/>
        <w:ind w:firstLine="1418"/>
        <w:jc w:val="both"/>
        <w:rPr>
          <w:rFonts w:cs="Helvetica"/>
        </w:rPr>
      </w:pPr>
      <w:r w:rsidRPr="00CB2B4A">
        <w:rPr>
          <w:rFonts w:cs="Helvetica"/>
        </w:rPr>
        <w:t>VII - às demais Secretarias de Estado:</w:t>
      </w:r>
    </w:p>
    <w:p w14:paraId="742CA52E" w14:textId="77777777" w:rsidR="00CB2B4A" w:rsidRPr="00CB2B4A" w:rsidRDefault="00CB2B4A" w:rsidP="00CB2B4A">
      <w:pPr>
        <w:spacing w:before="60" w:after="60" w:line="240" w:lineRule="auto"/>
        <w:ind w:firstLine="1418"/>
        <w:jc w:val="both"/>
        <w:rPr>
          <w:rFonts w:cs="Helvetica"/>
        </w:rPr>
      </w:pPr>
      <w:r w:rsidRPr="00CB2B4A">
        <w:rPr>
          <w:rFonts w:cs="Helvetica"/>
        </w:rPr>
        <w:t>a) propor a abertura de créditos adicionais, acompanhados da exposição de motivos, solicitar a antecipação de quotas e a liberação da dotação contingenciada;</w:t>
      </w:r>
    </w:p>
    <w:p w14:paraId="6FC9D469" w14:textId="77777777" w:rsidR="00CB2B4A" w:rsidRPr="00CB2B4A" w:rsidRDefault="00CB2B4A" w:rsidP="00CB2B4A">
      <w:pPr>
        <w:spacing w:before="60" w:after="60" w:line="240" w:lineRule="auto"/>
        <w:ind w:firstLine="1418"/>
        <w:jc w:val="both"/>
        <w:rPr>
          <w:rFonts w:cs="Helvetica"/>
        </w:rPr>
      </w:pPr>
      <w:r w:rsidRPr="00CB2B4A">
        <w:rPr>
          <w:rFonts w:cs="Helvetica"/>
        </w:rPr>
        <w:t>b) propor à Secretaria da Fazenda e Planejamento a alteração da discriminação da receita, de acordo com o parágrafo único do artigo 3º da Lei nº 11.607, de 29 de dezembro de 2003;</w:t>
      </w:r>
    </w:p>
    <w:p w14:paraId="2CE6C658" w14:textId="77777777" w:rsidR="00CB2B4A" w:rsidRPr="00CB2B4A" w:rsidRDefault="00CB2B4A" w:rsidP="00CB2B4A">
      <w:pPr>
        <w:spacing w:before="60" w:after="60" w:line="240" w:lineRule="auto"/>
        <w:ind w:firstLine="1418"/>
        <w:jc w:val="both"/>
        <w:rPr>
          <w:rFonts w:cs="Helvetica"/>
        </w:rPr>
      </w:pPr>
      <w:r w:rsidRPr="00CB2B4A">
        <w:rPr>
          <w:rFonts w:cs="Helvetica"/>
        </w:rPr>
        <w:t>c) submeter à Secretaria da Fazenda e Planejamento as projeções de receitas próprias para cobertura de créditos com excesso de arrecadação.</w:t>
      </w:r>
    </w:p>
    <w:p w14:paraId="2C53DDBC" w14:textId="77777777" w:rsidR="00CB2B4A" w:rsidRPr="00CB2B4A" w:rsidRDefault="00CB2B4A" w:rsidP="00CB2B4A">
      <w:pPr>
        <w:spacing w:before="60" w:after="60" w:line="240" w:lineRule="auto"/>
        <w:ind w:firstLine="1418"/>
        <w:jc w:val="both"/>
        <w:rPr>
          <w:rFonts w:cs="Helvetica"/>
        </w:rPr>
      </w:pPr>
      <w:r w:rsidRPr="00CB2B4A">
        <w:rPr>
          <w:rFonts w:cs="Helvetica"/>
        </w:rPr>
        <w:t>d) formalizar, junto à Secretaria de Orçamento e Gestão, pedido de alteração da classificação institucional das Secretarias. </w:t>
      </w:r>
    </w:p>
    <w:p w14:paraId="286E3EE1" w14:textId="77777777" w:rsidR="00CB2B4A" w:rsidRPr="00CB2B4A" w:rsidRDefault="00CB2B4A" w:rsidP="00CB2B4A">
      <w:pPr>
        <w:spacing w:before="60" w:after="60" w:line="240" w:lineRule="auto"/>
        <w:ind w:firstLine="1418"/>
        <w:jc w:val="both"/>
        <w:rPr>
          <w:rFonts w:cs="Helvetica"/>
        </w:rPr>
      </w:pPr>
      <w:r w:rsidRPr="00CB2B4A">
        <w:rPr>
          <w:rFonts w:cs="Helvetica"/>
        </w:rPr>
        <w:t>Artigo 32 - Os Secretários de Estado e os ordenadores de despesa são responsáveis pela observância do cumprimento das disposições legais aplicáveis à matéria de que trata este decreto, especialmente da Lei federal nº 4.320, de 17 de março de 1964; da Lei Complementar federal nº 101, de 4 de maio de 2000 e Lei n° 17.387, de 22 de julho de 2021, que dispõe sobre as Diretrizes Orçamentárias para o exercício de 2022.</w:t>
      </w:r>
    </w:p>
    <w:p w14:paraId="286EFF74" w14:textId="77777777" w:rsidR="00CB2B4A" w:rsidRPr="00CB2B4A" w:rsidRDefault="00CB2B4A" w:rsidP="00CB2B4A">
      <w:pPr>
        <w:spacing w:before="60" w:after="60" w:line="240" w:lineRule="auto"/>
        <w:ind w:firstLine="1418"/>
        <w:jc w:val="both"/>
        <w:rPr>
          <w:rFonts w:cs="Helvetica"/>
        </w:rPr>
      </w:pPr>
      <w:r w:rsidRPr="00CB2B4A">
        <w:rPr>
          <w:rFonts w:cs="Helvetica"/>
        </w:rPr>
        <w:lastRenderedPageBreak/>
        <w:t>CAPÍTULO III</w:t>
      </w:r>
    </w:p>
    <w:p w14:paraId="454AC415" w14:textId="77777777" w:rsidR="00CB2B4A" w:rsidRPr="00CB2B4A" w:rsidRDefault="00CB2B4A" w:rsidP="00CB2B4A">
      <w:pPr>
        <w:spacing w:before="60" w:after="60" w:line="240" w:lineRule="auto"/>
        <w:ind w:firstLine="1418"/>
        <w:jc w:val="both"/>
        <w:rPr>
          <w:rFonts w:cs="Helvetica"/>
        </w:rPr>
      </w:pPr>
      <w:r w:rsidRPr="00CB2B4A">
        <w:rPr>
          <w:rFonts w:cs="Helvetica"/>
        </w:rPr>
        <w:t>Das Disposições Finais</w:t>
      </w:r>
    </w:p>
    <w:p w14:paraId="60512348" w14:textId="77777777" w:rsidR="00CB2B4A" w:rsidRPr="00CB2B4A" w:rsidRDefault="00CB2B4A" w:rsidP="00CB2B4A">
      <w:pPr>
        <w:spacing w:before="60" w:after="60" w:line="240" w:lineRule="auto"/>
        <w:ind w:firstLine="1418"/>
        <w:jc w:val="both"/>
        <w:rPr>
          <w:rFonts w:cs="Helvetica"/>
        </w:rPr>
      </w:pPr>
      <w:r w:rsidRPr="00CB2B4A">
        <w:rPr>
          <w:rFonts w:cs="Helvetica"/>
        </w:rPr>
        <w:t>Artigo 33 - Em decorrência do disposto neste decreto, fica vedada aos órgãos, fundos e entidades do Poder Executivo que integram os Orçamentos Fiscal e da Seguridade Social do Estado, a realização de despesa ou a assunção de compromissos que não estejam compatíveis com os limites disponíveis e os cronogramas estabelecidos, conforme estabelece o inciso II do artigo 176 da Constituição do Estado.</w:t>
      </w:r>
    </w:p>
    <w:p w14:paraId="23C37034" w14:textId="77777777" w:rsidR="00CB2B4A" w:rsidRPr="00CB2B4A" w:rsidRDefault="00CB2B4A" w:rsidP="00CB2B4A">
      <w:pPr>
        <w:spacing w:before="60" w:after="60" w:line="240" w:lineRule="auto"/>
        <w:ind w:firstLine="1418"/>
        <w:jc w:val="both"/>
        <w:rPr>
          <w:rFonts w:cs="Helvetica"/>
        </w:rPr>
      </w:pPr>
      <w:r w:rsidRPr="00CB2B4A">
        <w:rPr>
          <w:rFonts w:cs="Helvetica"/>
        </w:rPr>
        <w:t>Parágrafo único - Por se tratar do último ano de mandato estadual prevalecem os limites e as regras específicas estabelecidas pela Lei de Responsabilidade Fiscal e na Lei Eleitoral para o exercício de 2022.</w:t>
      </w:r>
    </w:p>
    <w:p w14:paraId="1BB435B6" w14:textId="77777777" w:rsidR="00CB2B4A" w:rsidRPr="00CB2B4A" w:rsidRDefault="00CB2B4A" w:rsidP="00CB2B4A">
      <w:pPr>
        <w:spacing w:before="60" w:after="60" w:line="240" w:lineRule="auto"/>
        <w:ind w:firstLine="1418"/>
        <w:jc w:val="both"/>
        <w:rPr>
          <w:rFonts w:cs="Helvetica"/>
        </w:rPr>
      </w:pPr>
      <w:r w:rsidRPr="00CB2B4A">
        <w:rPr>
          <w:rFonts w:cs="Helvetica"/>
        </w:rPr>
        <w:t>Artigo 34 - Os Secretários de Estado, os titulares de órgãos do Governo do Estado, os dirigentes de órgãos setoriais dos sistemas estaduais de orçamento e de administração financeira e os ordenadores de despesas são res-ponsáveis, no que lhes couber, pelo cumprimento do disposto neste decreto.</w:t>
      </w:r>
    </w:p>
    <w:p w14:paraId="6B7D5125" w14:textId="77777777" w:rsidR="00CB2B4A" w:rsidRPr="00CB2B4A" w:rsidRDefault="00CB2B4A" w:rsidP="00CB2B4A">
      <w:pPr>
        <w:spacing w:before="60" w:after="60" w:line="240" w:lineRule="auto"/>
        <w:ind w:firstLine="1418"/>
        <w:jc w:val="both"/>
        <w:rPr>
          <w:rFonts w:cs="Helvetica"/>
        </w:rPr>
      </w:pPr>
      <w:r w:rsidRPr="00CB2B4A">
        <w:rPr>
          <w:rFonts w:cs="Helvetica"/>
        </w:rPr>
        <w:t>Artigo 35 - O Departamento de Controle e Avaliação da Secretaria da Fazenda e Planejamento, por intermédio dos seus Centros de Controle e Avaliação e Centros Regionais de Controle e Avaliação, aos quais se vinculam as Unidades Gestoras Executoras, adotará providências com vistas ao cumprimento das disposições deste decreto.</w:t>
      </w:r>
    </w:p>
    <w:p w14:paraId="419EE3F7" w14:textId="77777777" w:rsidR="00CB2B4A" w:rsidRPr="00CB2B4A" w:rsidRDefault="00CB2B4A" w:rsidP="00CB2B4A">
      <w:pPr>
        <w:spacing w:before="60" w:after="60" w:line="240" w:lineRule="auto"/>
        <w:ind w:firstLine="1418"/>
        <w:jc w:val="both"/>
        <w:rPr>
          <w:rFonts w:cs="Helvetica"/>
        </w:rPr>
      </w:pPr>
      <w:r w:rsidRPr="00CB2B4A">
        <w:rPr>
          <w:rFonts w:cs="Helvetica"/>
        </w:rPr>
        <w:t>Artigo 36 - Para efeito de assegurar o cumprimento dos artigos 35 e 171 da Constituição do Estado, o disposto neste decreto aplica-se, no que couber, aos órgãos dos Poderes Legislativo e Judiciário, ao Ministério Público, à Defensoria Pública do Estado e ao Tribunal de Contas do Estado.</w:t>
      </w:r>
    </w:p>
    <w:p w14:paraId="079C4763" w14:textId="77777777" w:rsidR="00CB2B4A" w:rsidRPr="00CB2B4A" w:rsidRDefault="00CB2B4A" w:rsidP="00CB2B4A">
      <w:pPr>
        <w:spacing w:before="60" w:after="60" w:line="240" w:lineRule="auto"/>
        <w:ind w:firstLine="1418"/>
        <w:jc w:val="both"/>
        <w:rPr>
          <w:rFonts w:cs="Helvetica"/>
        </w:rPr>
      </w:pPr>
      <w:r w:rsidRPr="00CB2B4A">
        <w:rPr>
          <w:rFonts w:cs="Helvetica"/>
        </w:rPr>
        <w:t>Artigo 37 - Com vistas ao cumprimento das metas fiscais e no intuito de assegurar a adequação da execução orçamentária e financeira às disponibilidades de caixa do Tesouro Estadual, as Secretarias da Fazenda e Planejamento e de Orçamento e Gestão revisarão quadrimestralmente a programação orçamentária e financeira e editarão normas específicas sobre a sua execução no exercício, devendo ainda adotar as providências necessárias ao cumprimento do disposto neste decreto, bem como na Lei Complementar federal nº 101, de 4 de maio de 2000.</w:t>
      </w:r>
    </w:p>
    <w:p w14:paraId="116B4D7A" w14:textId="77777777" w:rsidR="00CB2B4A" w:rsidRPr="00CB2B4A" w:rsidRDefault="00CB2B4A" w:rsidP="00CB2B4A">
      <w:pPr>
        <w:spacing w:before="60" w:after="60" w:line="240" w:lineRule="auto"/>
        <w:ind w:firstLine="1418"/>
        <w:jc w:val="both"/>
        <w:rPr>
          <w:rFonts w:cs="Helvetica"/>
        </w:rPr>
      </w:pPr>
      <w:r w:rsidRPr="00CB2B4A">
        <w:rPr>
          <w:rFonts w:cs="Helvetica"/>
        </w:rPr>
        <w:t>Artigo 38 - Este decreto entra em vigor na data de sua publicação, retroagindo seus efeitos a 1º de janeiro de 2022.</w:t>
      </w:r>
    </w:p>
    <w:p w14:paraId="5C87F0C0" w14:textId="77777777" w:rsidR="00CB2B4A" w:rsidRPr="00CB2B4A" w:rsidRDefault="00CB2B4A" w:rsidP="00CB2B4A">
      <w:pPr>
        <w:spacing w:before="60" w:after="60" w:line="240" w:lineRule="auto"/>
        <w:ind w:firstLine="1418"/>
        <w:jc w:val="both"/>
        <w:rPr>
          <w:rFonts w:cs="Helvetica"/>
        </w:rPr>
      </w:pPr>
      <w:r w:rsidRPr="00CB2B4A">
        <w:rPr>
          <w:rFonts w:cs="Helvetica"/>
        </w:rPr>
        <w:t>Palácio dos Bandeirantes, 13 de janeiro de 2022</w:t>
      </w:r>
    </w:p>
    <w:p w14:paraId="662BCEC3" w14:textId="54B11FA2" w:rsidR="00CB2B4A" w:rsidRDefault="00CB2B4A" w:rsidP="00CB2B4A">
      <w:pPr>
        <w:spacing w:before="60" w:after="60" w:line="240" w:lineRule="auto"/>
        <w:ind w:firstLine="1418"/>
        <w:jc w:val="both"/>
        <w:rPr>
          <w:rFonts w:cs="Helvetica"/>
        </w:rPr>
      </w:pPr>
      <w:r w:rsidRPr="00CB2B4A">
        <w:rPr>
          <w:rFonts w:cs="Helvetica"/>
        </w:rPr>
        <w:t>JOÃO DORIA</w:t>
      </w:r>
    </w:p>
    <w:p w14:paraId="2A177FDE" w14:textId="09653BF3" w:rsidR="00063EE1" w:rsidRPr="00CB2B4A" w:rsidRDefault="00063EE1" w:rsidP="00063EE1">
      <w:pPr>
        <w:spacing w:before="60" w:after="60" w:line="240" w:lineRule="auto"/>
        <w:ind w:firstLine="1418"/>
        <w:jc w:val="both"/>
        <w:rPr>
          <w:rFonts w:cs="Helvetica"/>
        </w:rPr>
      </w:pPr>
      <w:r>
        <w:rPr>
          <w:rFonts w:cs="Helvetica"/>
          <w:b/>
          <w:bCs/>
          <w:color w:val="000000"/>
        </w:rPr>
        <w:t>(Tabela em anexo, em formato PDF)</w:t>
      </w:r>
    </w:p>
    <w:sectPr w:rsidR="00063EE1" w:rsidRPr="00CB2B4A" w:rsidSect="000628A5">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623E"/>
    <w:rsid w:val="00021E3D"/>
    <w:rsid w:val="0002294B"/>
    <w:rsid w:val="00026977"/>
    <w:rsid w:val="000628A5"/>
    <w:rsid w:val="00063EE1"/>
    <w:rsid w:val="0007295A"/>
    <w:rsid w:val="00075907"/>
    <w:rsid w:val="000919C0"/>
    <w:rsid w:val="0009370A"/>
    <w:rsid w:val="00096293"/>
    <w:rsid w:val="000974CA"/>
    <w:rsid w:val="000D04B1"/>
    <w:rsid w:val="000D1236"/>
    <w:rsid w:val="000E7307"/>
    <w:rsid w:val="000F627F"/>
    <w:rsid w:val="00124CBF"/>
    <w:rsid w:val="00131D22"/>
    <w:rsid w:val="0015764E"/>
    <w:rsid w:val="00161E54"/>
    <w:rsid w:val="00184D80"/>
    <w:rsid w:val="001B3296"/>
    <w:rsid w:val="001B5DB0"/>
    <w:rsid w:val="001C5D01"/>
    <w:rsid w:val="001D2C54"/>
    <w:rsid w:val="001E5DA5"/>
    <w:rsid w:val="001F488E"/>
    <w:rsid w:val="00243CD7"/>
    <w:rsid w:val="0028751E"/>
    <w:rsid w:val="002B5CDD"/>
    <w:rsid w:val="002E697A"/>
    <w:rsid w:val="00314163"/>
    <w:rsid w:val="0034299E"/>
    <w:rsid w:val="00343EDB"/>
    <w:rsid w:val="00390444"/>
    <w:rsid w:val="003933E4"/>
    <w:rsid w:val="003A29BE"/>
    <w:rsid w:val="0040342D"/>
    <w:rsid w:val="004055BC"/>
    <w:rsid w:val="004240E1"/>
    <w:rsid w:val="00425814"/>
    <w:rsid w:val="004514EC"/>
    <w:rsid w:val="00451CC4"/>
    <w:rsid w:val="00453B9B"/>
    <w:rsid w:val="00457135"/>
    <w:rsid w:val="00460EF8"/>
    <w:rsid w:val="00480D46"/>
    <w:rsid w:val="004B1D6C"/>
    <w:rsid w:val="004C1068"/>
    <w:rsid w:val="004E070F"/>
    <w:rsid w:val="004F75B3"/>
    <w:rsid w:val="0052771E"/>
    <w:rsid w:val="0055023D"/>
    <w:rsid w:val="00550FB6"/>
    <w:rsid w:val="00554804"/>
    <w:rsid w:val="00561759"/>
    <w:rsid w:val="00572FA8"/>
    <w:rsid w:val="00574120"/>
    <w:rsid w:val="00586B36"/>
    <w:rsid w:val="005952F6"/>
    <w:rsid w:val="005B6074"/>
    <w:rsid w:val="005D6384"/>
    <w:rsid w:val="005E3B63"/>
    <w:rsid w:val="005E5EC6"/>
    <w:rsid w:val="005F23BB"/>
    <w:rsid w:val="005F5B31"/>
    <w:rsid w:val="005F69C2"/>
    <w:rsid w:val="00605A4E"/>
    <w:rsid w:val="006305AC"/>
    <w:rsid w:val="006465C2"/>
    <w:rsid w:val="0065613C"/>
    <w:rsid w:val="00660DCD"/>
    <w:rsid w:val="00661C95"/>
    <w:rsid w:val="00671EEC"/>
    <w:rsid w:val="00671F06"/>
    <w:rsid w:val="006A0ECB"/>
    <w:rsid w:val="006C07D4"/>
    <w:rsid w:val="006C2A8C"/>
    <w:rsid w:val="006F00E1"/>
    <w:rsid w:val="006F11CC"/>
    <w:rsid w:val="00727BCE"/>
    <w:rsid w:val="00765C21"/>
    <w:rsid w:val="00781576"/>
    <w:rsid w:val="00794C42"/>
    <w:rsid w:val="007A311B"/>
    <w:rsid w:val="007A729E"/>
    <w:rsid w:val="007D094C"/>
    <w:rsid w:val="007D16D6"/>
    <w:rsid w:val="007E2FFB"/>
    <w:rsid w:val="008054E4"/>
    <w:rsid w:val="0082268D"/>
    <w:rsid w:val="008B2B4B"/>
    <w:rsid w:val="008D28CF"/>
    <w:rsid w:val="00931C15"/>
    <w:rsid w:val="00A300E0"/>
    <w:rsid w:val="00A370DC"/>
    <w:rsid w:val="00A41BF2"/>
    <w:rsid w:val="00A574A9"/>
    <w:rsid w:val="00A66A7D"/>
    <w:rsid w:val="00AA5EFA"/>
    <w:rsid w:val="00AE6743"/>
    <w:rsid w:val="00AF465F"/>
    <w:rsid w:val="00B01EE7"/>
    <w:rsid w:val="00B0267E"/>
    <w:rsid w:val="00B04783"/>
    <w:rsid w:val="00B125C0"/>
    <w:rsid w:val="00B144EC"/>
    <w:rsid w:val="00B268CE"/>
    <w:rsid w:val="00BD7326"/>
    <w:rsid w:val="00BF1DAF"/>
    <w:rsid w:val="00C0656D"/>
    <w:rsid w:val="00C12C23"/>
    <w:rsid w:val="00C55A1D"/>
    <w:rsid w:val="00C562FD"/>
    <w:rsid w:val="00C77ABC"/>
    <w:rsid w:val="00C820FC"/>
    <w:rsid w:val="00CA5E99"/>
    <w:rsid w:val="00CA7052"/>
    <w:rsid w:val="00CB2B4A"/>
    <w:rsid w:val="00CB6F59"/>
    <w:rsid w:val="00CC2019"/>
    <w:rsid w:val="00CE16A9"/>
    <w:rsid w:val="00CE49E9"/>
    <w:rsid w:val="00CE79F7"/>
    <w:rsid w:val="00CE7A8A"/>
    <w:rsid w:val="00CF253B"/>
    <w:rsid w:val="00D37AE0"/>
    <w:rsid w:val="00D711CD"/>
    <w:rsid w:val="00D74636"/>
    <w:rsid w:val="00D97397"/>
    <w:rsid w:val="00DA1B99"/>
    <w:rsid w:val="00DB0B30"/>
    <w:rsid w:val="00DD3823"/>
    <w:rsid w:val="00E2113F"/>
    <w:rsid w:val="00E30F0D"/>
    <w:rsid w:val="00E32251"/>
    <w:rsid w:val="00E51017"/>
    <w:rsid w:val="00E742F4"/>
    <w:rsid w:val="00E76AFB"/>
    <w:rsid w:val="00E838FC"/>
    <w:rsid w:val="00E84D97"/>
    <w:rsid w:val="00E91F61"/>
    <w:rsid w:val="00E925B7"/>
    <w:rsid w:val="00EB7D45"/>
    <w:rsid w:val="00EF3722"/>
    <w:rsid w:val="00F41386"/>
    <w:rsid w:val="00F5501E"/>
    <w:rsid w:val="00F63D83"/>
    <w:rsid w:val="00FA0503"/>
    <w:rsid w:val="00FA34A7"/>
    <w:rsid w:val="00FB0361"/>
    <w:rsid w:val="00FB60F4"/>
    <w:rsid w:val="00FC5C0B"/>
    <w:rsid w:val="00FD4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A26"/>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4672</Words>
  <Characters>25232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4</cp:revision>
  <dcterms:created xsi:type="dcterms:W3CDTF">2022-01-14T12:53:00Z</dcterms:created>
  <dcterms:modified xsi:type="dcterms:W3CDTF">2022-01-17T14:51:00Z</dcterms:modified>
</cp:coreProperties>
</file>