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5CD3" w14:textId="633C9AA9" w:rsidR="00DF56F9" w:rsidRDefault="00DF56F9" w:rsidP="00DF56F9">
      <w:pPr>
        <w:spacing w:before="60" w:after="60" w:line="240" w:lineRule="auto"/>
        <w:ind w:firstLine="1418"/>
        <w:jc w:val="center"/>
        <w:rPr>
          <w:rFonts w:cs="Courier New"/>
          <w:b/>
          <w:bCs/>
        </w:rPr>
      </w:pPr>
      <w:r w:rsidRPr="00DF56F9">
        <w:rPr>
          <w:rFonts w:cs="Courier New"/>
          <w:b/>
          <w:bCs/>
        </w:rPr>
        <w:t>DECRETO Nº 66.730, DE 13 DE MAIO DE 2022</w:t>
      </w:r>
    </w:p>
    <w:p w14:paraId="27062874" w14:textId="77777777" w:rsidR="00683BBC" w:rsidRPr="00DF56F9" w:rsidRDefault="00683BBC" w:rsidP="00683BBC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643D6EF" w14:textId="3CE3F4EA" w:rsidR="00DF56F9" w:rsidRDefault="00DF56F9" w:rsidP="00683BBC">
      <w:pPr>
        <w:spacing w:before="60" w:after="60" w:line="240" w:lineRule="auto"/>
        <w:ind w:left="3686"/>
        <w:jc w:val="both"/>
        <w:rPr>
          <w:rFonts w:cs="Courier New"/>
        </w:rPr>
      </w:pPr>
      <w:r w:rsidRPr="00DF56F9">
        <w:rPr>
          <w:rFonts w:cs="Courier New"/>
        </w:rPr>
        <w:t>Autoriza a Fazenda do Estado a receber, mediante concessão de direito real de uso, a título gratuito e por prazo determinado, do Município de Adamantina, parte do imóvel que especifica, e dá providências correlatas</w:t>
      </w:r>
    </w:p>
    <w:p w14:paraId="103791FF" w14:textId="77777777" w:rsidR="00683BBC" w:rsidRPr="00DF56F9" w:rsidRDefault="00683BBC" w:rsidP="00683BBC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73993EDA" w14:textId="1601BCC9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 xml:space="preserve">RODRIGO GARCIA, </w:t>
      </w:r>
      <w:r w:rsidR="00683BBC" w:rsidRPr="00DF56F9">
        <w:rPr>
          <w:rFonts w:cs="Courier New"/>
        </w:rPr>
        <w:t>GOVERNADOR DO ESTADO DE SÃO PAULO</w:t>
      </w:r>
      <w:r w:rsidRPr="00DF56F9">
        <w:rPr>
          <w:rFonts w:cs="Courier New"/>
        </w:rPr>
        <w:t>, no uso de suas atribuições legais e à vista da deliberação do Conselho de Patrimônio Imobiliário,</w:t>
      </w:r>
    </w:p>
    <w:p w14:paraId="590D1B98" w14:textId="77777777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Decreta:</w:t>
      </w:r>
    </w:p>
    <w:p w14:paraId="66E86D5C" w14:textId="368101F6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Artigo 1º - Fica a Fazenda do Estado autorizada a receber, mediante concessão de direito real de uso, a título gratuito e pelo prazo de 15 (quinze) anos, do Município de Adamantina, nos termos da Lei municipal nº 4.095, de 7 de dezembro de 2021, parte do imóvel situado na Rua Nove de Julho, nº 730, Centro, naquele Município,</w:t>
      </w:r>
      <w:r w:rsidR="00683BBC">
        <w:rPr>
          <w:rFonts w:cs="Courier New"/>
        </w:rPr>
        <w:t xml:space="preserve"> </w:t>
      </w:r>
      <w:r w:rsidRPr="00DF56F9">
        <w:rPr>
          <w:rFonts w:cs="Courier New"/>
        </w:rPr>
        <w:t>objeto da Matrícula nº 3.876 do Ofício de Registro de Imóveis de Adamantina, devidamente identificado e descrito no Processo SEDUC-PRC-2022/02019.</w:t>
      </w:r>
    </w:p>
    <w:p w14:paraId="7DB845C6" w14:textId="26DBF557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§ 1º-</w:t>
      </w:r>
      <w:r w:rsidR="00683BBC">
        <w:rPr>
          <w:rFonts w:cs="Courier New"/>
        </w:rPr>
        <w:t xml:space="preserve"> </w:t>
      </w:r>
      <w:r w:rsidRPr="00DF56F9">
        <w:rPr>
          <w:rFonts w:cs="Courier New"/>
        </w:rPr>
        <w:t>A parte do imóvel de que trata o "caput" deste artigo perfaz uma área de 1.007,12m</w:t>
      </w:r>
      <w:r w:rsidR="00683BBC">
        <w:rPr>
          <w:rFonts w:cs="Courier New"/>
        </w:rPr>
        <w:t>²</w:t>
      </w:r>
      <w:r w:rsidRPr="00DF56F9">
        <w:rPr>
          <w:rFonts w:cs="Courier New"/>
        </w:rPr>
        <w:t>(mil e sete metros quadrados e doze decímetros quadrados), composta de 10 (dez) salas de aula, 1 (uma) sala anexa, 2 (dois) corredores, 2 (duas) rampas de acesso e um hall,</w:t>
      </w:r>
      <w:r w:rsidR="00683BBC">
        <w:rPr>
          <w:rFonts w:cs="Courier New"/>
        </w:rPr>
        <w:t xml:space="preserve"> </w:t>
      </w:r>
      <w:r w:rsidRPr="00DF56F9">
        <w:rPr>
          <w:rFonts w:cs="Courier New"/>
        </w:rPr>
        <w:t>localizados no 2º pavimento do Campus I do Centro Universitário de Adamantina - UNIFAI.</w:t>
      </w:r>
    </w:p>
    <w:p w14:paraId="2159B797" w14:textId="3492B412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§ 2º</w:t>
      </w:r>
      <w:r w:rsidR="00683BBC">
        <w:rPr>
          <w:rFonts w:cs="Courier New"/>
        </w:rPr>
        <w:t xml:space="preserve"> </w:t>
      </w:r>
      <w:r w:rsidRPr="00DF56F9">
        <w:rPr>
          <w:rFonts w:cs="Courier New"/>
        </w:rPr>
        <w:t>- A parte do imóvel a que alude o "caput" deste artigo destinar-se-á à Secretaria da Educação, para a instalação do Centro de Inovação da Educação Básica Paulista – CIEBP.</w:t>
      </w:r>
    </w:p>
    <w:p w14:paraId="09E4DCAC" w14:textId="4D32173A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Artigo 2º-</w:t>
      </w:r>
      <w:r w:rsidR="00683BBC">
        <w:rPr>
          <w:rFonts w:cs="Courier New"/>
        </w:rPr>
        <w:t xml:space="preserve"> </w:t>
      </w:r>
      <w:r w:rsidRPr="00DF56F9">
        <w:rPr>
          <w:rFonts w:cs="Courier New"/>
        </w:rPr>
        <w:t>A concessão de direito real de uso prevista neste decreto será efetivada por meio de escritura pública a ser lavrada pela unidade competente da Procuradoria Geral do Estado.</w:t>
      </w:r>
    </w:p>
    <w:p w14:paraId="2BF26A88" w14:textId="64D96CCC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Artigo 3º -</w:t>
      </w:r>
      <w:r w:rsidR="00683BBC">
        <w:rPr>
          <w:rFonts w:cs="Courier New"/>
        </w:rPr>
        <w:t xml:space="preserve"> </w:t>
      </w:r>
      <w:r w:rsidRPr="00DF56F9">
        <w:rPr>
          <w:rFonts w:cs="Courier New"/>
        </w:rPr>
        <w:t>Este decreto entra em vigor na data de sua publicação.</w:t>
      </w:r>
    </w:p>
    <w:p w14:paraId="0DEDB827" w14:textId="77777777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Palácio dos Bandeirantes, 13 de maio de 2022</w:t>
      </w:r>
    </w:p>
    <w:p w14:paraId="73BE745A" w14:textId="77777777" w:rsidR="00DF56F9" w:rsidRPr="00DF56F9" w:rsidRDefault="00DF56F9" w:rsidP="00683BBC">
      <w:pPr>
        <w:spacing w:before="60" w:after="60" w:line="240" w:lineRule="auto"/>
        <w:ind w:firstLine="1418"/>
        <w:jc w:val="both"/>
        <w:rPr>
          <w:rFonts w:cs="Courier New"/>
        </w:rPr>
      </w:pPr>
      <w:r w:rsidRPr="00DF56F9">
        <w:rPr>
          <w:rFonts w:cs="Courier New"/>
        </w:rPr>
        <w:t>RODRIGO GARCIA</w:t>
      </w:r>
    </w:p>
    <w:p w14:paraId="18925DAF" w14:textId="77777777" w:rsidR="00F90D7C" w:rsidRPr="00683BBC" w:rsidRDefault="00F90D7C" w:rsidP="00683BBC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3ED2D342" w14:textId="1760B836" w:rsidR="00EC7694" w:rsidRPr="00F90D7C" w:rsidRDefault="00EC7694" w:rsidP="00F90D7C">
      <w:pPr>
        <w:spacing w:before="60" w:after="60" w:line="240" w:lineRule="auto"/>
      </w:pPr>
    </w:p>
    <w:sectPr w:rsidR="00EC7694" w:rsidRPr="00F90D7C" w:rsidSect="00BB5F2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E7F32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66B49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2022-05-16T12:23:00Z</dcterms:created>
  <dcterms:modified xsi:type="dcterms:W3CDTF">2022-05-16T12:25:00Z</dcterms:modified>
</cp:coreProperties>
</file>