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C7E0" w14:textId="5CCEF9C8" w:rsidR="007F7FC8" w:rsidRDefault="007F7FC8" w:rsidP="00C32943">
      <w:pPr>
        <w:pStyle w:val="TextosemFormatao"/>
        <w:spacing w:before="60" w:after="60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C32943">
        <w:rPr>
          <w:rFonts w:ascii="Helvetica" w:hAnsi="Helvetica" w:cs="Courier New"/>
          <w:b/>
          <w:bCs/>
          <w:sz w:val="22"/>
          <w:szCs w:val="22"/>
        </w:rPr>
        <w:t>DECRETO Nº 66.173, DE 26 DE OUTUBRO DE 2021</w:t>
      </w:r>
    </w:p>
    <w:p w14:paraId="0B514E3E" w14:textId="77777777" w:rsidR="00C32943" w:rsidRPr="00C32943" w:rsidRDefault="00C32943" w:rsidP="00C32943">
      <w:pPr>
        <w:pStyle w:val="TextosemFormatao"/>
        <w:spacing w:before="60" w:after="60"/>
        <w:jc w:val="center"/>
        <w:rPr>
          <w:rFonts w:ascii="Helvetica" w:hAnsi="Helvetica" w:cs="Courier New"/>
          <w:b/>
          <w:bCs/>
          <w:sz w:val="22"/>
          <w:szCs w:val="22"/>
        </w:rPr>
      </w:pPr>
    </w:p>
    <w:p w14:paraId="2C41D682" w14:textId="5361EF28" w:rsidR="007F7FC8" w:rsidRDefault="007F7FC8" w:rsidP="00C32943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Dispõe sobre a disciplina acerca da celebração de convênios, no âmbito da Administração direta e autárquica, e sobre a instrução dos processos respectivos</w:t>
      </w:r>
    </w:p>
    <w:p w14:paraId="6F20C18C" w14:textId="77777777" w:rsidR="00C32943" w:rsidRPr="007F7FC8" w:rsidRDefault="00C32943" w:rsidP="00C32943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sz w:val="22"/>
          <w:szCs w:val="22"/>
        </w:rPr>
      </w:pPr>
    </w:p>
    <w:p w14:paraId="74CF15E9" w14:textId="6D4BAD3F" w:rsidR="007F7FC8" w:rsidRPr="007F7FC8" w:rsidRDefault="00C32943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RODRIGO GARCIA, VICE-GOVERNADOR, EM EXERCÍCIO NO CARGO DE GOVERNADOR DO ESTADO DE SÃO PAULO,</w:t>
      </w:r>
      <w:r w:rsidR="007F7FC8" w:rsidRPr="007F7FC8">
        <w:rPr>
          <w:rFonts w:ascii="Helvetica" w:hAnsi="Helvetica" w:cs="Courier New"/>
          <w:sz w:val="22"/>
          <w:szCs w:val="22"/>
        </w:rPr>
        <w:t xml:space="preserve"> no uso de suas atribuições legais, com fundamento no artigo 47, incisos II e III, da Constituição do Estado,</w:t>
      </w:r>
    </w:p>
    <w:p w14:paraId="47887FEF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Decreta:</w:t>
      </w:r>
    </w:p>
    <w:p w14:paraId="5AA0CA11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Artigo 1º - Os convênios a serem celebrados pelo Estado de São Paulo, por intermédio das Secretarias de Estado, da Procuradoria Geral do Estado ou dos órgãos vinculados diretamente ao Governador, e pelas autarquias dependem de prévia autorização governamental, exceto quando o respectivo instrumento:</w:t>
      </w:r>
    </w:p>
    <w:p w14:paraId="6574CAA3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I - seja subscrito pelo Chefe do Poder Executivo;</w:t>
      </w:r>
    </w:p>
    <w:p w14:paraId="4C8EAE99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II - não estipule transferência de recursos por parte do Estado;</w:t>
      </w:r>
    </w:p>
    <w:p w14:paraId="18CD0631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III - estipule transferência de recursos decorrentes de emendas impositivas ao projeto de lei orçamentária.</w:t>
      </w:r>
    </w:p>
    <w:p w14:paraId="0C733AC7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§ 1º - A celebração de convênios de que resultem para o Estado encargos não previstos na lei orçamentária depende de prévia autorização ou de aprovação da Assembleia Legislativa, nos termos do artigo 20, inciso XIX, da Constituição do Estado.</w:t>
      </w:r>
    </w:p>
    <w:p w14:paraId="3BA2A7E1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§ 2º - Nas hipóteses de que tratam os incisos II e III deste artigo, fica atribuída competência ao respectivo Secretário de Estado, ao Procurador Geral do Estado ou ao dirigente máximo da autarquia para a outorga da autorização.</w:t>
      </w:r>
    </w:p>
    <w:p w14:paraId="6A0F366E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§ 3º - O disposto neste decreto não se aplica às parcerias com organizações da sociedade civil a que se refere a Lei federal nº 13.019, de 31 de julho de 2014.</w:t>
      </w:r>
    </w:p>
    <w:p w14:paraId="64A8160A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Artigo 2º - Nos convênios a serem celebrados com a União, por intermédio dos Ministérios do Poder Executivo, ou com entidades estrangeiras, a representação do Estado se fará pelo Governador, nos termos do artigo 47, inciso I, da Constituição do Estado.</w:t>
      </w:r>
    </w:p>
    <w:p w14:paraId="1F62760B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Artigo 3º - Independe de autorização governamental a celebração de:</w:t>
      </w:r>
    </w:p>
    <w:p w14:paraId="1F5759DE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I - protocolos de intenção, assim entendidos os ajustes destituídos de conteúdo obrigacional, preparatórios da celebração de convênios;</w:t>
      </w:r>
    </w:p>
    <w:p w14:paraId="751F5344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II - termos de cooperação, assim entendidos os ajustes que instrumentalizam colaboração institucional, de natureza administrativa, entre:</w:t>
      </w:r>
    </w:p>
    <w:p w14:paraId="4DCA4BB1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a) Secretarias de Estado ou a Procuradoria Geral do Estado;</w:t>
      </w:r>
    </w:p>
    <w:p w14:paraId="64C6A608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b) o Poder Executivo e os demais Poderes do Estado ou órgãos autônomos.</w:t>
      </w:r>
    </w:p>
    <w:p w14:paraId="33DC6DDA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Parágrafo único - O Estado será representado pelo Governador nos ajustes a que alude o "caput" deste artigo, na seguinte conformidade:</w:t>
      </w:r>
    </w:p>
    <w:p w14:paraId="2A6F2215" w14:textId="245D04CC" w:rsidR="007F7FC8" w:rsidRPr="00E41A87" w:rsidRDefault="007F7FC8" w:rsidP="00C32943">
      <w:pPr>
        <w:pStyle w:val="TextosemFormatao"/>
        <w:spacing w:before="60" w:after="60"/>
        <w:ind w:firstLine="1418"/>
        <w:jc w:val="both"/>
        <w:rPr>
          <w:rFonts w:ascii="Calibri" w:hAnsi="Calibri" w:cs="Calibri"/>
          <w:b/>
          <w:bCs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1. nos previstos pelo inciso I, caso sejam celebrados com a União, por intermédio dos Ministérios do Poder Executivo, ou com os demais Poderes do Estado ou órgãos autônomos;</w:t>
      </w:r>
      <w:r w:rsidR="00E41A87">
        <w:rPr>
          <w:rFonts w:ascii="Calibri" w:hAnsi="Calibri" w:cs="Calibri"/>
          <w:b/>
          <w:bCs/>
          <w:sz w:val="22"/>
          <w:szCs w:val="22"/>
        </w:rPr>
        <w:t xml:space="preserve">- retificação abaixo - </w:t>
      </w:r>
    </w:p>
    <w:p w14:paraId="2A706EF2" w14:textId="77777777" w:rsidR="00E41A87" w:rsidRPr="00FA0E65" w:rsidRDefault="00E41A87" w:rsidP="00E41A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A0E65">
        <w:rPr>
          <w:rFonts w:ascii="Helvetica" w:hAnsi="Helvetica" w:cs="Courier New"/>
          <w:sz w:val="22"/>
          <w:szCs w:val="22"/>
        </w:rPr>
        <w:t>No item 1 do par</w:t>
      </w:r>
      <w:r w:rsidRPr="00FA0E65">
        <w:rPr>
          <w:rFonts w:ascii="Calibri" w:hAnsi="Calibri" w:cs="Calibri"/>
          <w:sz w:val="22"/>
          <w:szCs w:val="22"/>
        </w:rPr>
        <w:t>á</w:t>
      </w:r>
      <w:r w:rsidRPr="00FA0E65">
        <w:rPr>
          <w:rFonts w:ascii="Helvetica" w:hAnsi="Helvetica" w:cs="Courier New"/>
          <w:sz w:val="22"/>
          <w:szCs w:val="22"/>
        </w:rPr>
        <w:t xml:space="preserve">grafo </w:t>
      </w:r>
      <w:r w:rsidRPr="00FA0E65">
        <w:rPr>
          <w:rFonts w:ascii="Calibri" w:hAnsi="Calibri" w:cs="Calibri"/>
          <w:sz w:val="22"/>
          <w:szCs w:val="22"/>
        </w:rPr>
        <w:t>ú</w:t>
      </w:r>
      <w:r w:rsidRPr="00FA0E65">
        <w:rPr>
          <w:rFonts w:ascii="Helvetica" w:hAnsi="Helvetica" w:cs="Courier New"/>
          <w:sz w:val="22"/>
          <w:szCs w:val="22"/>
        </w:rPr>
        <w:t>nico do artigo 3</w:t>
      </w:r>
      <w:r w:rsidRPr="00FA0E65">
        <w:rPr>
          <w:rFonts w:ascii="Calibri" w:hAnsi="Calibri" w:cs="Calibri"/>
          <w:sz w:val="22"/>
          <w:szCs w:val="22"/>
        </w:rPr>
        <w:t>°</w:t>
      </w:r>
      <w:r w:rsidRPr="00FA0E65">
        <w:rPr>
          <w:rFonts w:ascii="Helvetica" w:hAnsi="Helvetica" w:cs="Courier New"/>
          <w:sz w:val="22"/>
          <w:szCs w:val="22"/>
        </w:rPr>
        <w:t>, leia-se como segue e n</w:t>
      </w:r>
      <w:r w:rsidRPr="00FA0E65">
        <w:rPr>
          <w:rFonts w:ascii="Calibri" w:hAnsi="Calibri" w:cs="Calibri"/>
          <w:sz w:val="22"/>
          <w:szCs w:val="22"/>
        </w:rPr>
        <w:t>ã</w:t>
      </w:r>
      <w:r w:rsidRPr="00FA0E65">
        <w:rPr>
          <w:rFonts w:ascii="Helvetica" w:hAnsi="Helvetica" w:cs="Courier New"/>
          <w:sz w:val="22"/>
          <w:szCs w:val="22"/>
        </w:rPr>
        <w:t>o como constou:</w:t>
      </w:r>
    </w:p>
    <w:p w14:paraId="365D0EA9" w14:textId="77777777" w:rsidR="00E41A87" w:rsidRPr="00FA0E65" w:rsidRDefault="00E41A87" w:rsidP="00E41A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A0E65">
        <w:rPr>
          <w:rFonts w:ascii="Helvetica" w:hAnsi="Helvetica" w:cs="Courier New"/>
          <w:sz w:val="22"/>
          <w:szCs w:val="22"/>
        </w:rPr>
        <w:lastRenderedPageBreak/>
        <w:t>1. nos previstos pelo inciso I, caso sejam celebrados com entidades estrangeiras, com a Uni</w:t>
      </w:r>
      <w:r w:rsidRPr="00FA0E65">
        <w:rPr>
          <w:rFonts w:ascii="Calibri" w:hAnsi="Calibri" w:cs="Calibri"/>
          <w:sz w:val="22"/>
          <w:szCs w:val="22"/>
        </w:rPr>
        <w:t>ã</w:t>
      </w:r>
      <w:r w:rsidRPr="00FA0E65">
        <w:rPr>
          <w:rFonts w:ascii="Helvetica" w:hAnsi="Helvetica" w:cs="Courier New"/>
          <w:sz w:val="22"/>
          <w:szCs w:val="22"/>
        </w:rPr>
        <w:t>o, por interm</w:t>
      </w:r>
      <w:r w:rsidRPr="00FA0E65">
        <w:rPr>
          <w:rFonts w:ascii="Calibri" w:hAnsi="Calibri" w:cs="Calibri"/>
          <w:sz w:val="22"/>
          <w:szCs w:val="22"/>
        </w:rPr>
        <w:t>é</w:t>
      </w:r>
      <w:r w:rsidRPr="00FA0E65">
        <w:rPr>
          <w:rFonts w:ascii="Helvetica" w:hAnsi="Helvetica" w:cs="Courier New"/>
          <w:sz w:val="22"/>
          <w:szCs w:val="22"/>
        </w:rPr>
        <w:t>dio dos Minist</w:t>
      </w:r>
      <w:r w:rsidRPr="00FA0E65">
        <w:rPr>
          <w:rFonts w:ascii="Calibri" w:hAnsi="Calibri" w:cs="Calibri"/>
          <w:sz w:val="22"/>
          <w:szCs w:val="22"/>
        </w:rPr>
        <w:t>é</w:t>
      </w:r>
      <w:r w:rsidRPr="00FA0E65">
        <w:rPr>
          <w:rFonts w:ascii="Helvetica" w:hAnsi="Helvetica" w:cs="Courier New"/>
          <w:sz w:val="22"/>
          <w:szCs w:val="22"/>
        </w:rPr>
        <w:t xml:space="preserve">rios do Poder Executivo, ou com os demais Poderes do Estado ou </w:t>
      </w:r>
      <w:r w:rsidRPr="00FA0E65">
        <w:rPr>
          <w:rFonts w:ascii="Calibri" w:hAnsi="Calibri" w:cs="Calibri"/>
          <w:sz w:val="22"/>
          <w:szCs w:val="22"/>
        </w:rPr>
        <w:t>ó</w:t>
      </w:r>
      <w:r w:rsidRPr="00FA0E65">
        <w:rPr>
          <w:rFonts w:ascii="Helvetica" w:hAnsi="Helvetica" w:cs="Courier New"/>
          <w:sz w:val="22"/>
          <w:szCs w:val="22"/>
        </w:rPr>
        <w:t>rg</w:t>
      </w:r>
      <w:r w:rsidRPr="00FA0E65">
        <w:rPr>
          <w:rFonts w:ascii="Calibri" w:hAnsi="Calibri" w:cs="Calibri"/>
          <w:sz w:val="22"/>
          <w:szCs w:val="22"/>
        </w:rPr>
        <w:t>ã</w:t>
      </w:r>
      <w:r w:rsidRPr="00FA0E65">
        <w:rPr>
          <w:rFonts w:ascii="Helvetica" w:hAnsi="Helvetica" w:cs="Courier New"/>
          <w:sz w:val="22"/>
          <w:szCs w:val="22"/>
        </w:rPr>
        <w:t>os aut</w:t>
      </w:r>
      <w:r w:rsidRPr="00FA0E65">
        <w:rPr>
          <w:rFonts w:ascii="Calibri" w:hAnsi="Calibri" w:cs="Calibri"/>
          <w:sz w:val="22"/>
          <w:szCs w:val="22"/>
        </w:rPr>
        <w:t>ô</w:t>
      </w:r>
      <w:r w:rsidRPr="00FA0E65">
        <w:rPr>
          <w:rFonts w:ascii="Helvetica" w:hAnsi="Helvetica" w:cs="Courier New"/>
          <w:sz w:val="22"/>
          <w:szCs w:val="22"/>
        </w:rPr>
        <w:t>nomos;</w:t>
      </w:r>
    </w:p>
    <w:p w14:paraId="047B49F6" w14:textId="575BF83A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2. nos previstos pela alínea "b" do inciso II.</w:t>
      </w:r>
    </w:p>
    <w:p w14:paraId="08D11D0A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Artigo 4º - Os processos objetivando a formalização de convênios deverão ser instruídos com os seguintes elementos:</w:t>
      </w:r>
    </w:p>
    <w:p w14:paraId="5953C4B9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I - parecer da Consultoria Jurídica que serve à Secretaria de Estado proponente ou, quando for o caso, do órgão jurídico da autarquia, contendo, no mínimo, aprovação da minuta do instrumento de ajuste e demonstração da inserção de seu objeto no respectivo campo de atuação funcional;</w:t>
      </w:r>
    </w:p>
    <w:p w14:paraId="7DAEE0F8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II - plano de trabalho aprovado pelo Titular da Pasta ou pelo dirigente máximo da autarquia, demonstrando a conveniência e oportunidade da celebração e contendo, no que couber, as seguintes informações mínimas:</w:t>
      </w:r>
    </w:p>
    <w:p w14:paraId="38F97C49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a) identificação do objeto a ser executado;</w:t>
      </w:r>
    </w:p>
    <w:p w14:paraId="5621CF77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b) metas a serem atingidas;</w:t>
      </w:r>
    </w:p>
    <w:p w14:paraId="6A20E4FD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c) etapas ou fases de execução;</w:t>
      </w:r>
    </w:p>
    <w:p w14:paraId="0AFDB92C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d) plano de aplicação dos recursos financeiros;</w:t>
      </w:r>
    </w:p>
    <w:p w14:paraId="42B578BE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e) cronograma de desembolso;</w:t>
      </w:r>
    </w:p>
    <w:p w14:paraId="46E5EDDC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f) previsão de início e fim da execução do objeto, bem assim da conclusão das etapas ou fases programadas;</w:t>
      </w:r>
    </w:p>
    <w:p w14:paraId="7DE2ECC8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g) comprovação de que o partícipe destinatário de recursos estaduais dispõe de recursos próprios para complementar a execução de obra ou serviço de engenharia, quando for o caso;</w:t>
      </w:r>
    </w:p>
    <w:p w14:paraId="05A2A906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III - nota de reserva correspondente aos recursos orçamentários necessários à execução do objeto do convênio no exercício de sua celebração;</w:t>
      </w:r>
    </w:p>
    <w:p w14:paraId="4C3B021A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IV - prova de inexistência de débito para com o sistema de seguridade social, o fundo de garantia por tempo de serviço e a Fazenda do Estado de São Paulo, observado, quanto a esta, o disposto na Lei nº 12.799, de 11 de janeiro de 2008.</w:t>
      </w:r>
    </w:p>
    <w:p w14:paraId="0ECC7EC2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Parágrafo único - Quando necessária a autorização governamental, os processos deverão ser remetidos à Assessoria Técnica do Governo, da Secretaria de Governo, com estrita observância do Decreto nº 51.704, de 26 de março de 2007.</w:t>
      </w:r>
    </w:p>
    <w:p w14:paraId="56278DC0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Artigo 5º - A celebração de convênio com entidade ou Estado estrangeiros deverá ser precedida de consulta à União, por intermédio do Ministério das Relações Exteriores, quando dispuserem sobre as matérias de que tratam os artigos 49, inciso I, e 52, inciso V, da Constituição da República, pautando-se o Estado de São Paulo nos estritos termos do que lhe vier a ser estabelecido por esse ente.</w:t>
      </w:r>
    </w:p>
    <w:p w14:paraId="4675DE35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Parágrafo único - Não se verificando a hipótese de que trata o 'caput' deste artigo, a celebração de convênio com entidade ou Estado estrangeiros será objeto de comunicação à União, por intermédio do Ministério das Relações Exteriores, no prazo de 5 (cinco) dias da assinatura do respectivo instrumento.</w:t>
      </w:r>
    </w:p>
    <w:p w14:paraId="32DA80D4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Artigo 6º - Na hipótese de convênios com entidades estrangeiras ou com personalidade de direito privado, os processos administrativos deverão também ser instruídos com documentação hábil à comprovação da respectiva existência no plano jurídico e dos poderes de seus representantes, bem como da inserção das atividades previstas no ajuste no objeto das entidades signatárias.</w:t>
      </w:r>
    </w:p>
    <w:p w14:paraId="038D1C3C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lastRenderedPageBreak/>
        <w:t>Parágrafo único - Se for o caso, a entidade partícipe fará prova igualmente de estar autorizada ao exercício, no território nacional, da atividade que constitui seu objeto.</w:t>
      </w:r>
    </w:p>
    <w:p w14:paraId="5780EDC1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Artigo 7º - As propostas de celebração de convênios com Municípios paulistas, subscritas pelos respectivos Prefeitos, a par da instrução a que alude o artigo 4º deste decreto, deverão fazer prova de:</w:t>
      </w:r>
    </w:p>
    <w:p w14:paraId="082DFBA7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I - estar a celebração conforme a Lei Orgânica local;</w:t>
      </w:r>
    </w:p>
    <w:p w14:paraId="671BF6C7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II - encontrar-se o Chefe do Poder Executivo municipal no exercício do cargo e com mandato em plena vigência;</w:t>
      </w:r>
    </w:p>
    <w:p w14:paraId="36D72A94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III - não estar o Município impedido de receber auxílios ou subvenções estaduais em virtude de decisão do Tribunal de Contas do Estado;</w:t>
      </w:r>
    </w:p>
    <w:p w14:paraId="77893406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IV - aplicação do percentual mínimo, constitucionalmente exigido, da receita municipal resultante de impostos, na manutenção e desenvolvimento do ensino;</w:t>
      </w:r>
    </w:p>
    <w:p w14:paraId="659DB639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V - entrega da prestação de contas anual junto ao Tribunal de Contas;</w:t>
      </w:r>
    </w:p>
    <w:p w14:paraId="6E64A636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VI - não incorrer o Município nas vedações dos artigos 11, parágrafo único, 23, § 3º, inciso I, e § 4º, 25, § 1º, inciso IV, 31, §§ 2º, 3º e 5º, 51, § 2º, 52, § 2º, 55, § 3º e 70, parágrafo único, ressalvadas as hipóteses previstas nos artigos 25, § 3º, 63, inciso II, alínea "b", 65, inciso I e 66, todos da Lei Complementar federal nº 101, de 4 de maio de 2000.</w:t>
      </w:r>
    </w:p>
    <w:p w14:paraId="264948F9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§ 1º - O documento comprobatório referente aos incisos I a IV e VI deste artigo poderá consistir em declarações firmadas por autoridade municipal competente, sob as penas da lei.</w:t>
      </w:r>
    </w:p>
    <w:p w14:paraId="64814CE6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§ 2º - No caso de obras e serviços a serem executados pelos Municípios, deverão estes apresentar os documentos seguintes, firmados pelo respectivo Prefeito, que certificará, sob as penas da lei, sua veracidade:</w:t>
      </w:r>
    </w:p>
    <w:p w14:paraId="4F700898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1. projeto básico aprovado;</w:t>
      </w:r>
    </w:p>
    <w:p w14:paraId="18067E6C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2. declaração de que o objeto não teve sua execução iniciada, nos termos do artigo 56 da Lei nº 6.544, de 22 de novembro de 1989.</w:t>
      </w:r>
    </w:p>
    <w:p w14:paraId="4C2CA87C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Artigo 8º - Os documentos a que aludem o inciso IV do artigo 4º, e os incisos I a VI, do artigo 7º, deste decreto, poderão ser substituídos pelo Certificado de Regularidade do Município para Celebrar Convênios - CRMC, instituído pelo Decreto nº 52.479, de 14 de dezembro de 2007.</w:t>
      </w:r>
    </w:p>
    <w:p w14:paraId="6848802D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Artigo 9º - Não será exigida a comprovação:</w:t>
      </w:r>
    </w:p>
    <w:p w14:paraId="406A241A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I - a que aludem os incisos III e IV do artigo 4º, e os incisos III a VI, do artigo 7º, deste decreto, para a celebração de convênio que não estipule transferência de recursos por parte do Estado;</w:t>
      </w:r>
    </w:p>
    <w:p w14:paraId="42F7C68C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II - a que aludem o inciso IV do artigo 4º, e os incisos III a VI do artigo 7º deste decreto, para a celebração de convênio que estipule a transferência de recursos do Estado a Município paulista, destinada a ações de educação, saúde e assistência social.</w:t>
      </w:r>
    </w:p>
    <w:p w14:paraId="3688BF2D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Artigo 10 - Os instrumentos de convênio deverão ser minutados nos órgãos ou nas entidades de origem e vazados em linguagem técnica adequada, observando, no que couber, as disposições da Lei Complementar nº 863, de 29 de dezembro de 1999.</w:t>
      </w:r>
    </w:p>
    <w:p w14:paraId="371B04C7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§ 1º - Os instrumentos referidos neste artigo terão a seguinte estrutura formal:</w:t>
      </w:r>
    </w:p>
    <w:p w14:paraId="2293218F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1. ementa, com indicação dos partícipes e súmula do objeto;</w:t>
      </w:r>
    </w:p>
    <w:p w14:paraId="017B2792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lastRenderedPageBreak/>
        <w:t>2. preâmbulo, indicando os partícipes e sua qualificação jurídica, seus representantes legais, a autorização governamental, inclusive a de âmbito municipal, quando couber;</w:t>
      </w:r>
    </w:p>
    <w:p w14:paraId="6CA9BD7D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3. corpo clausulado, contendo cláusulas necessárias que, atendidas as peculiaridades da espécie, disponham sobre:</w:t>
      </w:r>
    </w:p>
    <w:p w14:paraId="46D7601E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a) objeto, descrito com precisão e clareza, o qual deverá se situar no campo legal de atuação dos partícipes;</w:t>
      </w:r>
    </w:p>
    <w:p w14:paraId="4F8F4014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b) obrigações comuns e específicas dos partícipes;</w:t>
      </w:r>
    </w:p>
    <w:p w14:paraId="459A2FA8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c) regime de execução, se não compreendido na cláusula referida na alínea "b" deste item;</w:t>
      </w:r>
    </w:p>
    <w:p w14:paraId="47232B8E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d) valor da avença e crédito orçamentário pelo qual correrá a despesa decorrente, com indicação da classificação funcional programática e da categoria econômica;</w:t>
      </w:r>
    </w:p>
    <w:p w14:paraId="2B4AB32A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e) modo de liberação dos recursos financeiros, observado o disposto no § 2º deste artigo;</w:t>
      </w:r>
    </w:p>
    <w:p w14:paraId="6BC81E28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f) viabilidade de suplementação de recursos, quando pertinente;</w:t>
      </w:r>
    </w:p>
    <w:p w14:paraId="7739E4CE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g) prazo de vigência, não superior a 5 (cinco) anos, exceto se, em razão da natureza do objeto, prazo maior se impuser, contado sempre da data da assinatura do instrumento;</w:t>
      </w:r>
    </w:p>
    <w:p w14:paraId="030BB1D8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h) possibilidade de prorrogação do prazo de vigência, quando for o caso, limitada a lapso de tempo compatível com o prazo de execução do objeto do convênio, mediante prévia autorização do Secretário de Estado, do Procurador Geral do Estado ou do dirigente máximo de autarquia respectivo;</w:t>
      </w:r>
    </w:p>
    <w:p w14:paraId="72B25A72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i) responsabilidades dos partícipes;</w:t>
      </w:r>
    </w:p>
    <w:p w14:paraId="3F44C359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j) modo de denúncia e de rescisão;</w:t>
      </w:r>
    </w:p>
    <w:p w14:paraId="4C070885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k) indicação dos representantes dos partícipes encarregados do controle e fiscalização da execução;</w:t>
      </w:r>
    </w:p>
    <w:p w14:paraId="44DEB254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l) forma de prestação de contas, independentemente da que for devida ao Tribunal de Contas do Estado;</w:t>
      </w:r>
    </w:p>
    <w:p w14:paraId="2E6C1C74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m) eleição do foro da Capital do Estado para dirimir os conflitos decorrentes da execução do convênio, salvo nas hipóteses em que o outro partícipe seja a União, outro Estado-membro ou o Distrito Federal, bem como as respectivas entidades da Administração indireta.</w:t>
      </w:r>
    </w:p>
    <w:p w14:paraId="048C631D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§ 2º - Nos casos previstos no § 2º do artigo 7º deste decreto, a liberação dos recursos, considerado o valor total destes, observará o seguinte:</w:t>
      </w:r>
    </w:p>
    <w:p w14:paraId="18C30244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1. até R$ 500.000,00 (quinhentos mil reais), em parcela única;</w:t>
      </w:r>
    </w:p>
    <w:p w14:paraId="0C3A9D0F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2. entre R$ 500.000,00 (quinhentos mil reais) e R$ 1.000.000,00 (um milhão de reais), em 2 (duas) parcelas igualmente divididas;</w:t>
      </w:r>
    </w:p>
    <w:p w14:paraId="3FA7FE53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3. entre R$ 1.000.000,00 (hum milhão de reais) e R$ 5.000.000,00 (cinco milhões de reais), em 3 (três) parcelas, sendo a primeira de 30% (trinta por cento);</w:t>
      </w:r>
    </w:p>
    <w:p w14:paraId="2AD480A2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4. acima de R$ 5.000.000,00 (cinco milhões de reais), em parcelas sucessivas, conforme estipular o respectivo instrumento, sendo a primeira de 30% (trinta por cento);</w:t>
      </w:r>
    </w:p>
    <w:p w14:paraId="35578F75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5. em qualquer caso, a liberação da parcela única ou da primeira parcela fica condicionada à expedição de ordem de serviço e, no caso das parcelas subsequentes, à aprovação da prestação de contas atinente às anteriores.</w:t>
      </w:r>
    </w:p>
    <w:p w14:paraId="7B2755B7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lastRenderedPageBreak/>
        <w:t>§ 3º - A prorrogação do prazo de vigência a que se refere a alínea "h" do item 3 do § 1º deste artigo abrange as hipóteses em que for ultrapassado o limite de 5 (cinco) anos.</w:t>
      </w:r>
    </w:p>
    <w:p w14:paraId="2F1041FF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Artigo 11 - É vedado atribuir efeitos financeiros retroativos aos convênios de que trata este decreto, bem como às suas alterações.</w:t>
      </w:r>
    </w:p>
    <w:p w14:paraId="1DC09880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Artigo 12 - Na hipótese de convênio estipulando a transferência de recursos, uma vez assinado o instrumento, a Secretaria de Estado, a Procuradoria Geral do Estado ou a autarquia respectiva darão ciência à Assembleia Legislativa.</w:t>
      </w:r>
    </w:p>
    <w:p w14:paraId="00A71735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Artigo 13 - O disposto neste decreto não impede a outorga de autorização governamental genérica no que concerne à celebração de convênios, com estipulação de transferência de recursos, de objeto assemelhado ou vinculados à execução de determinado programa, mediante ato regulamentar que aprove o instrumento-padrão das avenças e estipule as demais condições para sua formalização.</w:t>
      </w:r>
    </w:p>
    <w:p w14:paraId="25320247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Parágrafo único - As disposições deste decreto, em especial os artigos 4º, 7º e 10, aplicam-se à celebração de convênios fundada em instrumentos-padrão, nos termos do "caput" deste artigo.</w:t>
      </w:r>
    </w:p>
    <w:p w14:paraId="0A8E3637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Artigo 14 - A celebração, em ano em que se realizar eleição, de convênios que estipulem a transferência de recursos por parte do Estado observará a vedação a que alude o artigo 73, inciso VI, alínea "a", da Lei federal nº 9.504, de 30 de setembro de 1997.</w:t>
      </w:r>
    </w:p>
    <w:p w14:paraId="0CC2817C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Artigo 15 - Fica atribuída competência aos Secretários de Estado, ao Procurador Geral do Estado e aos dirigentes máximos de autarquias para, em suas respectivas esferas, autorizar a celebração de termo de reconhecimento e parcelamento, em até 48 (quarenta e oito) meses, de débito resultante da inexecução parcial ou total de convênio.</w:t>
      </w:r>
    </w:p>
    <w:p w14:paraId="1CEE354C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§ 1º - A celebração do termo a que alude o "caput" deste artigo fica condicionada:</w:t>
      </w:r>
    </w:p>
    <w:p w14:paraId="797F6C20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1. ao prévio registro, em conta do passivo nos demonstrativos contábeis do Município, do valor total objeto de parcelamento;</w:t>
      </w:r>
    </w:p>
    <w:p w14:paraId="28640312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2. a declaração, firmada pelo respectivo Prefeito, sob as penas da lei, acompanhada de demonstrativos ou informações contábeis detalhadas, de que o ajuste não implica aumento da dívida consolidada líquida do Município, assim entendida a dívida consolidada deduzidas as disponibilidades de caixa, as aplicações financeiras e os demais haveres financeiros.</w:t>
      </w:r>
    </w:p>
    <w:p w14:paraId="1FD699F0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§ 2º - A Secretaria da Fazenda e Planejamento se pronunciará, em cada caso concreto, acerca do atendimento ao disposto no § 1º deste artigo.</w:t>
      </w:r>
    </w:p>
    <w:p w14:paraId="06DC6236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Artigo 16 - Este decreto entra em vigor na data de sua publicação, ficando revogadas as disposições em contrário, em especial:</w:t>
      </w:r>
    </w:p>
    <w:p w14:paraId="4FB052CF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I - o Decreto nº 59.215, de 21 de maio de 2013;</w:t>
      </w:r>
    </w:p>
    <w:p w14:paraId="3A65BAF2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II - o Decreto nº 60.868, de 29 de outubro de 2014;</w:t>
      </w:r>
    </w:p>
    <w:p w14:paraId="6BC1B765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III - o Decreto nº 60.908, de 21 de novembro de 2014;</w:t>
      </w:r>
    </w:p>
    <w:p w14:paraId="01A58399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IV - o artigo 19 do Decreto nº 61.981, de 20 de maio de 2016;</w:t>
      </w:r>
    </w:p>
    <w:p w14:paraId="45B63942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V - o Decreto nº 62.032, de 17 de junho de 2016;</w:t>
      </w:r>
    </w:p>
    <w:p w14:paraId="7ABF670D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VI - o inciso X do artigo 2º do Decreto nº 64.065 de 2 de janeiro de 2019;</w:t>
      </w:r>
    </w:p>
    <w:p w14:paraId="1BE14D5E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VII - o Decreto nº 64.757, de 24 de janeiro de 2020.</w:t>
      </w:r>
    </w:p>
    <w:p w14:paraId="2D61DB80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Palácio dos Bandeirantes, 26 de outubro de 2021.</w:t>
      </w:r>
    </w:p>
    <w:p w14:paraId="1E2E9ADD" w14:textId="77777777" w:rsidR="007F7FC8" w:rsidRPr="007F7FC8" w:rsidRDefault="007F7FC8" w:rsidP="00C32943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7FC8">
        <w:rPr>
          <w:rFonts w:ascii="Helvetica" w:hAnsi="Helvetica" w:cs="Courier New"/>
          <w:sz w:val="22"/>
          <w:szCs w:val="22"/>
        </w:rPr>
        <w:t>RODRIGO GARCIA</w:t>
      </w:r>
    </w:p>
    <w:p w14:paraId="644E2AB1" w14:textId="77777777" w:rsidR="007F7FC8" w:rsidRPr="007F7FC8" w:rsidRDefault="007F7FC8" w:rsidP="007F7FC8">
      <w:pPr>
        <w:jc w:val="both"/>
        <w:rPr>
          <w:rFonts w:ascii="Helvetica" w:hAnsi="Helvetica"/>
        </w:rPr>
      </w:pPr>
    </w:p>
    <w:sectPr w:rsidR="007F7FC8" w:rsidRPr="007F7FC8" w:rsidSect="00C954FA">
      <w:pgSz w:w="11906" w:h="16838"/>
      <w:pgMar w:top="1928" w:right="1928" w:bottom="1134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C8"/>
    <w:rsid w:val="007F7FC8"/>
    <w:rsid w:val="00C32943"/>
    <w:rsid w:val="00C954FA"/>
    <w:rsid w:val="00E4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4287"/>
  <w15:chartTrackingRefBased/>
  <w15:docId w15:val="{92604AB6-142E-446D-BE84-8676F79B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7F7F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F7FC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2250</Words>
  <Characters>12153</Characters>
  <Application>Microsoft Office Word</Application>
  <DocSecurity>0</DocSecurity>
  <Lines>101</Lines>
  <Paragraphs>28</Paragraphs>
  <ScaleCrop>false</ScaleCrop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Goncalves da Silva</dc:creator>
  <cp:keywords/>
  <dc:description/>
  <cp:lastModifiedBy>Tania Mara de Oliveira</cp:lastModifiedBy>
  <cp:revision>4</cp:revision>
  <dcterms:created xsi:type="dcterms:W3CDTF">2021-10-27T12:05:00Z</dcterms:created>
  <dcterms:modified xsi:type="dcterms:W3CDTF">2021-11-16T13:23:00Z</dcterms:modified>
</cp:coreProperties>
</file>