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6769" w14:textId="77777777" w:rsidR="007E18F2" w:rsidRPr="007E18F2" w:rsidRDefault="007E18F2" w:rsidP="00FD7238">
      <w:pPr>
        <w:jc w:val="center"/>
        <w:rPr>
          <w:b/>
          <w:bCs/>
        </w:rPr>
      </w:pPr>
      <w:r w:rsidRPr="007E18F2">
        <w:rPr>
          <w:b/>
          <w:bCs/>
        </w:rPr>
        <w:t>DECRETO Nº 68.235, DE 22 DE DEZEMBRO DE 2023</w:t>
      </w:r>
    </w:p>
    <w:p w14:paraId="7076F8F7" w14:textId="77777777" w:rsidR="007E18F2" w:rsidRPr="007E18F2" w:rsidRDefault="007E18F2" w:rsidP="00FD7238">
      <w:pPr>
        <w:spacing w:before="60" w:after="60" w:line="240" w:lineRule="auto"/>
        <w:ind w:left="3686"/>
        <w:jc w:val="both"/>
      </w:pPr>
      <w:r w:rsidRPr="007E18F2">
        <w:t>Institui Grupo de Trabalho com o objetivo de elaborar estudos e apresentar propostas visando à participação do Estado de São Paulo na candidatura do Brasil como sede da Copa do Mundo Feminina da FIFA 2027.</w:t>
      </w:r>
    </w:p>
    <w:p w14:paraId="08BF29DB" w14:textId="77777777" w:rsidR="00FD7238" w:rsidRDefault="00FD7238" w:rsidP="00FD7238">
      <w:pPr>
        <w:spacing w:before="60" w:after="60" w:line="240" w:lineRule="auto"/>
        <w:jc w:val="both"/>
      </w:pPr>
    </w:p>
    <w:p w14:paraId="1F3A030F" w14:textId="024AC048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O GOVERNADOR DO ESTADO DE SÃO PAULO, no uso de suas atribuições legais,</w:t>
      </w:r>
    </w:p>
    <w:p w14:paraId="0F941C83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Decreta:</w:t>
      </w:r>
    </w:p>
    <w:p w14:paraId="40167AB2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Artigo 1º - Fica instituído, junto à Casa Civil, Grupo de Trabalho com o objetivo de elaborar estudos e apresentar propostas visando à participação do Estado de São Paulo na candidatura do Brasil como sede da Copa do Mundo Feminina da FIFA 2027.</w:t>
      </w:r>
    </w:p>
    <w:p w14:paraId="396DE5D7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Artigo 2º - O Grupo de Trabalho de que trata este decreto será integrado por 1 (um) membro titular e respectivo suplente dos seguintes órgãos:</w:t>
      </w:r>
    </w:p>
    <w:p w14:paraId="48174784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I - </w:t>
      </w:r>
      <w:proofErr w:type="gramStart"/>
      <w:r w:rsidRPr="007E18F2">
        <w:t>representando</w:t>
      </w:r>
      <w:proofErr w:type="gramEnd"/>
      <w:r w:rsidRPr="007E18F2">
        <w:t xml:space="preserve"> o Governo do Estado:</w:t>
      </w:r>
    </w:p>
    <w:p w14:paraId="401F67B3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a) Casa Civil, a quem caberá a coordenação dos trabalhos;</w:t>
      </w:r>
    </w:p>
    <w:p w14:paraId="0FDA0237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b) Secretaria de Esportes;</w:t>
      </w:r>
    </w:p>
    <w:p w14:paraId="3993B6B2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c) Casa Militar;</w:t>
      </w:r>
    </w:p>
    <w:p w14:paraId="72D4A5C6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d) Secretaria da Fazenda e Planejamento;</w:t>
      </w:r>
    </w:p>
    <w:p w14:paraId="62E89856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e) Secretaria da Segurança Pública;</w:t>
      </w:r>
    </w:p>
    <w:p w14:paraId="1028FB61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f) Secretaria de Políticas para a Mulher;</w:t>
      </w:r>
    </w:p>
    <w:p w14:paraId="0F406D71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g) Secretaria da Saúde;</w:t>
      </w:r>
    </w:p>
    <w:p w14:paraId="35B33A2E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h) Secretaria de Turismo e Viagens;</w:t>
      </w:r>
    </w:p>
    <w:p w14:paraId="37CBBE0B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i) Secretaria dos Transportes Metropolitanos;</w:t>
      </w:r>
    </w:p>
    <w:p w14:paraId="1E4682D7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j) Secretaria de Desenvolvimento Econômico;</w:t>
      </w:r>
    </w:p>
    <w:p w14:paraId="12163997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l) Secretaria de Comunicação;</w:t>
      </w:r>
    </w:p>
    <w:p w14:paraId="79AC1444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II - </w:t>
      </w:r>
      <w:proofErr w:type="gramStart"/>
      <w:r w:rsidRPr="007E18F2">
        <w:t>representando</w:t>
      </w:r>
      <w:proofErr w:type="gramEnd"/>
      <w:r w:rsidRPr="007E18F2">
        <w:t xml:space="preserve"> o Município de São Paulo:</w:t>
      </w:r>
    </w:p>
    <w:p w14:paraId="599280AB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a) Casa Civil do Gabinete do Prefeito;</w:t>
      </w:r>
    </w:p>
    <w:p w14:paraId="645F05A6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b) Secretaria de Governo Municipal;</w:t>
      </w:r>
    </w:p>
    <w:p w14:paraId="2C688FDE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c) Secretaria Municipal de Esportes e Lazer;</w:t>
      </w:r>
    </w:p>
    <w:p w14:paraId="4263F3F7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d) Secretaria Municipal da Fazenda;</w:t>
      </w:r>
    </w:p>
    <w:p w14:paraId="0F932D0A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e) Secretaria Municipal de Turismo;</w:t>
      </w:r>
    </w:p>
    <w:p w14:paraId="1C339819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f) Secretaria Municipal Relações Internacionais;</w:t>
      </w:r>
    </w:p>
    <w:p w14:paraId="025ECB28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g) São Paulo Turismo S.A - SPTURIS;</w:t>
      </w:r>
    </w:p>
    <w:p w14:paraId="09A4695E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III - Federação Internacional de Futebol - FIFA;</w:t>
      </w:r>
    </w:p>
    <w:p w14:paraId="036AF899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IV - Confederação Brasileira de Futebol;</w:t>
      </w:r>
    </w:p>
    <w:p w14:paraId="39CFA797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V - Federação Paulista de Futebol.</w:t>
      </w:r>
    </w:p>
    <w:p w14:paraId="6E5D2845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§ 1º - Os membros do Grupo de Trabalho serão indicados pelos Titulares dos órgãos e entidades de que tratam os incisos deste artigo e serão designados mediante ato do Secretário-Chefe da Casa Civil.</w:t>
      </w:r>
    </w:p>
    <w:p w14:paraId="06DEBEE7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 xml:space="preserve">§ 2º - O coordenador do Grupo de Trabalho poderá convidar representantes de outros órgãos e entidades, públicas ou privadas, além de pessoas </w:t>
      </w:r>
      <w:r w:rsidRPr="007E18F2">
        <w:lastRenderedPageBreak/>
        <w:t>que, por seus conhecimentos e experiência profissional, possam contribuir para realização do objeto deste Grupo de Trabalho.</w:t>
      </w:r>
    </w:p>
    <w:p w14:paraId="2A4E63AF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§ 3º - As funções de membro do Grupo de Trabalho não serão remuneradas, mas consideradas serviço público relevante.</w:t>
      </w:r>
    </w:p>
    <w:p w14:paraId="1C52FA28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Artigo 3º - O Grupo de Trabalho de que trata este decreto deverá concluir os estudos e apresentar relatório final em até 90 (noventa) dias, contados da data de sua instalação.</w:t>
      </w:r>
    </w:p>
    <w:p w14:paraId="3653923F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Parágrafo único - O prazo a que se refere o "caput" deste artigo poderá ser prorrogado mediante decisão fundamentada do Coordenador do Grupo de Trabalho.</w:t>
      </w:r>
    </w:p>
    <w:p w14:paraId="3F1E39D4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Artigo 4º - Este decreto entra em vigor na data da sua publicação.</w:t>
      </w:r>
    </w:p>
    <w:p w14:paraId="059D43AD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Palácio dos Bandeirantes, 22 de dezembro de 2023.</w:t>
      </w:r>
    </w:p>
    <w:p w14:paraId="7D39E629" w14:textId="77777777" w:rsidR="007E18F2" w:rsidRPr="007E18F2" w:rsidRDefault="007E18F2" w:rsidP="00FD7238">
      <w:pPr>
        <w:spacing w:before="60" w:after="60" w:line="240" w:lineRule="auto"/>
        <w:ind w:firstLine="1418"/>
        <w:jc w:val="both"/>
      </w:pPr>
      <w:r w:rsidRPr="007E18F2">
        <w:t>TARCÍSIO DE FREITAS</w:t>
      </w:r>
    </w:p>
    <w:p w14:paraId="7A7047BD" w14:textId="77777777" w:rsidR="00B810F8" w:rsidRPr="00B810F8" w:rsidRDefault="00B810F8" w:rsidP="00FD7238">
      <w:pPr>
        <w:spacing w:before="60" w:after="60" w:line="240" w:lineRule="auto"/>
        <w:jc w:val="both"/>
      </w:pPr>
    </w:p>
    <w:sectPr w:rsidR="00B810F8" w:rsidRPr="00B810F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3F93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18F2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2023-12-26T13:27:00Z</dcterms:created>
  <dcterms:modified xsi:type="dcterms:W3CDTF">2023-12-26T13:30:00Z</dcterms:modified>
</cp:coreProperties>
</file>