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D094" w14:textId="77777777" w:rsidR="006C2CDE" w:rsidRPr="006C2CDE" w:rsidRDefault="006C2CDE" w:rsidP="006C2CD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C2C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C2CDE">
        <w:rPr>
          <w:rFonts w:ascii="Calibri" w:hAnsi="Calibri" w:cs="Calibri"/>
          <w:b/>
          <w:bCs/>
          <w:sz w:val="22"/>
          <w:szCs w:val="22"/>
        </w:rPr>
        <w:t>°</w:t>
      </w:r>
      <w:r w:rsidRPr="006C2CDE">
        <w:rPr>
          <w:rFonts w:ascii="Helvetica" w:hAnsi="Helvetica" w:cs="Courier New"/>
          <w:b/>
          <w:bCs/>
          <w:sz w:val="22"/>
          <w:szCs w:val="22"/>
        </w:rPr>
        <w:t xml:space="preserve"> 67.232, DE 3 DE NOVEMBRO DE 2022</w:t>
      </w:r>
    </w:p>
    <w:p w14:paraId="107C8ED7" w14:textId="77777777" w:rsidR="006C2CDE" w:rsidRPr="00F86F3B" w:rsidRDefault="006C2CDE" w:rsidP="006C2CD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Correntes.</w:t>
      </w:r>
    </w:p>
    <w:p w14:paraId="1580961D" w14:textId="264459A8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Pr="00F86F3B">
        <w:rPr>
          <w:rFonts w:ascii="Helvetica" w:hAnsi="Helvetica" w:cs="Courier New"/>
          <w:sz w:val="22"/>
          <w:szCs w:val="22"/>
        </w:rPr>
        <w:t>GOVERNADOR DO ESTADO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10B9F5F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35EDA1E8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R$ 3.700.000,00 (Tr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 e setecentos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78690311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6FA79AE9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BEEC0AD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 xml:space="preserve">o, retroagindo os efeitos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27 de outubro 2022.</w:t>
      </w:r>
    </w:p>
    <w:p w14:paraId="61627334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18EA813D" w14:textId="77777777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776CB17C" w14:textId="1BEA65D1" w:rsidR="006C2CDE" w:rsidRPr="00F86F3B" w:rsidRDefault="006C2CDE" w:rsidP="006C2C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C2CDE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DE"/>
    <w:rsid w:val="00631C89"/>
    <w:rsid w:val="006C2CDE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7DDA"/>
  <w15:chartTrackingRefBased/>
  <w15:docId w15:val="{3288A019-CA55-41E4-96D4-93A169E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C2C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2C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2022-11-04T13:18:00Z</dcterms:created>
  <dcterms:modified xsi:type="dcterms:W3CDTF">2022-11-04T13:26:00Z</dcterms:modified>
</cp:coreProperties>
</file>