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7B7F" w14:textId="77777777" w:rsidR="00333F93" w:rsidRPr="00333F93" w:rsidRDefault="00333F93" w:rsidP="00C329FC">
      <w:pPr>
        <w:jc w:val="center"/>
        <w:rPr>
          <w:b/>
          <w:bCs/>
        </w:rPr>
      </w:pPr>
      <w:r w:rsidRPr="00333F93">
        <w:rPr>
          <w:b/>
          <w:bCs/>
        </w:rPr>
        <w:t>DECRETO Nº 68.234, DE 22 DE DEZEMBRO DE 2023</w:t>
      </w:r>
    </w:p>
    <w:p w14:paraId="37FCB564" w14:textId="77777777" w:rsidR="00333F93" w:rsidRPr="00333F93" w:rsidRDefault="00333F93" w:rsidP="00C329FC">
      <w:pPr>
        <w:spacing w:before="60" w:after="60" w:line="240" w:lineRule="auto"/>
        <w:ind w:left="3686"/>
        <w:jc w:val="both"/>
      </w:pPr>
      <w:r w:rsidRPr="00333F93">
        <w:t>Regulamenta a Lei 17.615, de 27 de dezembro de 2022, que institui o Fundo de Aval para Desenvolvimento da Eficiência Energética no Estado de São Paulo – FAEE, e constitui o Conselho Estadual de Orientação de Eficiência Energética, e dá providências correlatas.</w:t>
      </w:r>
    </w:p>
    <w:p w14:paraId="74C799B6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O GOVERNADOR DO ESTADO DE SÃO PAULO, no uso de suas atribuições legais,</w:t>
      </w:r>
    </w:p>
    <w:p w14:paraId="2860D9E6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Decreta:</w:t>
      </w:r>
    </w:p>
    <w:p w14:paraId="26940CEC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1º - O Fundo de Aval para Desenvolvimento da Eficiência Energética – FAEE, vinculado à Secretaria de Meio Ambiente, Infraestrutura e Logística, instituído pelo artigo 1º da Lei nº 17.615, de 27 de dezembro de 2022, tem por finalidade prover recursos para garantir os riscos de crédito, viabilizando às micro, pequenas e médias empresas do Estado de São Paulo, às cooperativas e associação de catadores de materiais reutilizáveis e recicláveis participantes do sistema de logística reversa, nos termos da Lei federal nº 12.305, de 2 de agosto de 2010, e da Lei nº 12.300, de 16 de março de 2006, o acesso às linhas de crédito para financiamento de projetos relacionados à:</w:t>
      </w:r>
    </w:p>
    <w:p w14:paraId="18C06E56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 - </w:t>
      </w:r>
      <w:proofErr w:type="gramStart"/>
      <w:r w:rsidRPr="00333F93">
        <w:t>eficiência</w:t>
      </w:r>
      <w:proofErr w:type="gramEnd"/>
      <w:r w:rsidRPr="00333F93">
        <w:t xml:space="preserve"> energética;</w:t>
      </w:r>
    </w:p>
    <w:p w14:paraId="2955A05A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II - </w:t>
      </w:r>
      <w:proofErr w:type="gramStart"/>
      <w:r w:rsidRPr="00333F93">
        <w:t>logística</w:t>
      </w:r>
      <w:proofErr w:type="gramEnd"/>
      <w:r w:rsidRPr="00333F93">
        <w:t xml:space="preserve"> reversa.</w:t>
      </w:r>
    </w:p>
    <w:p w14:paraId="54F55EA2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Parágrafo único - As linhas de crédito a que se refere o “caput” deste artigo são as oferecidas:</w:t>
      </w:r>
    </w:p>
    <w:p w14:paraId="643C40B2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1. pelo Banco Nacional de Desenvolvimento Econômico e Social – BNDES;</w:t>
      </w:r>
    </w:p>
    <w:p w14:paraId="768AD051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2. pela Financiadora de Estudos e Projetos – FINEP;</w:t>
      </w:r>
    </w:p>
    <w:p w14:paraId="4666A398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3. pela Desenvolve SP - Agência de Fomento do Estado de São Paulo S.A.;</w:t>
      </w:r>
    </w:p>
    <w:p w14:paraId="6A9ED4E9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4. por qualquer instituição financeira autorizada pelo Banco Central do Brasil.</w:t>
      </w:r>
    </w:p>
    <w:p w14:paraId="6A5ACE8D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2º - Compete ao Conselho Estadual de Orientação de Eficiência Energética, criado pelo artigo 3º da Lei nº 17.615, de 22 de dezembro de 2022:</w:t>
      </w:r>
    </w:p>
    <w:p w14:paraId="38B2E43E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 - </w:t>
      </w:r>
      <w:proofErr w:type="gramStart"/>
      <w:r w:rsidRPr="00333F93">
        <w:t>formular, coordenar</w:t>
      </w:r>
      <w:proofErr w:type="gramEnd"/>
      <w:r w:rsidRPr="00333F93">
        <w:t xml:space="preserve"> e definir as prioridades da política estadual de eficiência energética para as micro, pequenas e médias empresas paulistas;</w:t>
      </w:r>
    </w:p>
    <w:p w14:paraId="41EB0361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II - </w:t>
      </w:r>
      <w:proofErr w:type="gramStart"/>
      <w:r w:rsidRPr="00333F93">
        <w:t>operacionalizar</w:t>
      </w:r>
      <w:proofErr w:type="gramEnd"/>
      <w:r w:rsidRPr="00333F93">
        <w:t xml:space="preserve"> as medidas necessárias à implantação do FAEE;</w:t>
      </w:r>
    </w:p>
    <w:p w14:paraId="6FED6672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III - estabelecer os critérios, diretrizes, prioridades e procedimentos para as operações de crédito suportadas por garantia de provimento dos recursos do FAEE, respeitando as vocações regionais tradicionais ou novas;</w:t>
      </w:r>
    </w:p>
    <w:p w14:paraId="018004D3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IV - </w:t>
      </w:r>
      <w:proofErr w:type="gramStart"/>
      <w:r w:rsidRPr="00333F93">
        <w:t>aprovar</w:t>
      </w:r>
      <w:proofErr w:type="gramEnd"/>
      <w:r w:rsidRPr="00333F93">
        <w:t xml:space="preserve"> programas com regulamentos específicos e estabelecer diretrizes para estes programas no âmbito do FAEE;</w:t>
      </w:r>
    </w:p>
    <w:p w14:paraId="2745CB3A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V - </w:t>
      </w:r>
      <w:proofErr w:type="gramStart"/>
      <w:r w:rsidRPr="00333F93">
        <w:t>solicitar</w:t>
      </w:r>
      <w:proofErr w:type="gramEnd"/>
      <w:r w:rsidRPr="00333F93">
        <w:t xml:space="preserve"> junto ao agente financeiro, para gerência dos respectivos recursos, a criação de subcontas nominadas por agente repassador do FAEE e por modalidade de operação;</w:t>
      </w:r>
    </w:p>
    <w:p w14:paraId="3B9228DE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VI - </w:t>
      </w:r>
      <w:proofErr w:type="gramStart"/>
      <w:r w:rsidRPr="00333F93">
        <w:t>fixar</w:t>
      </w:r>
      <w:proofErr w:type="gramEnd"/>
      <w:r w:rsidRPr="00333F93">
        <w:t xml:space="preserve"> o percentual máximo, os limites globais e individuais de garantia de provimento de recursos pelo FAEE, bem como definir, à luz do interesse público, a alocação dos recursos nas subcontas, verificadas as respectivas disponibilidades financeiras e os compromissos já assumidos com recursos do fundo;</w:t>
      </w:r>
    </w:p>
    <w:p w14:paraId="7136A5D9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lastRenderedPageBreak/>
        <w:t>VII - estabelecer, para cada programa aprovado, limite máximo de contratação com garantia de provimento de recursos do FAEE;</w:t>
      </w:r>
    </w:p>
    <w:p w14:paraId="58856C38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VIII - examinar e aprovar trimestralmente as contas referentes ao FAEE, avaliando resultados e propondo medidas, se julgar necessário;</w:t>
      </w:r>
    </w:p>
    <w:p w14:paraId="119579E3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IX - </w:t>
      </w:r>
      <w:proofErr w:type="gramStart"/>
      <w:r w:rsidRPr="00333F93">
        <w:t>manifestar-se</w:t>
      </w:r>
      <w:proofErr w:type="gramEnd"/>
      <w:r w:rsidRPr="00333F93">
        <w:t xml:space="preserve"> previamente sobre convênios e contratos a serem celebrados com terceiros, que tenham por objeto recursos do FAEE;</w:t>
      </w:r>
    </w:p>
    <w:p w14:paraId="2E71AF44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X - </w:t>
      </w:r>
      <w:proofErr w:type="gramStart"/>
      <w:r w:rsidRPr="00333F93">
        <w:t>definir</w:t>
      </w:r>
      <w:proofErr w:type="gramEnd"/>
      <w:r w:rsidRPr="00333F93">
        <w:t xml:space="preserve"> critérios para habilitação das instituições financeiras para atuarem como agentes repassadores, bem como as modalidades de financiamento que terão acesso ao FAEE;</w:t>
      </w:r>
    </w:p>
    <w:p w14:paraId="5A5D8736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XI - definir a alavancagem máxima do FAEE;</w:t>
      </w:r>
    </w:p>
    <w:p w14:paraId="511915B5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XII - estabelecer as regras de cobrança e comissões em razão de garantias de provimento de recursos do fundo;</w:t>
      </w:r>
    </w:p>
    <w:p w14:paraId="4A629A98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XIII - aprovar os procedimentos operacionais que serão estabelecidos pelo agente financeiro para os agentes repassadores pleitearem a honra de aval, no caso de ocorrer o inadimplemento de obrigações financeiras por parte do beneficiário dos recursos do FAEE;</w:t>
      </w:r>
    </w:p>
    <w:p w14:paraId="43D18AE4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XIV - aprovar o seu regulamento e exercer outras atribuições nele definidas.</w:t>
      </w:r>
    </w:p>
    <w:p w14:paraId="58CA2637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3º - A Desenvolve SP será o agente financeiro do FAEE e atuará como mandatária do Estado de São Paulo na administração dos recursos do fundo, com as seguintes atribuições:</w:t>
      </w:r>
    </w:p>
    <w:p w14:paraId="5E290091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 - </w:t>
      </w:r>
      <w:proofErr w:type="gramStart"/>
      <w:r w:rsidRPr="00333F93">
        <w:t>cumprir</w:t>
      </w:r>
      <w:proofErr w:type="gramEnd"/>
      <w:r w:rsidRPr="00333F93">
        <w:t xml:space="preserve"> as diretrizes definidas pelo Conselho Estadual de Orientação de Eficiência Energética para a operacionalização do FAEE;</w:t>
      </w:r>
    </w:p>
    <w:p w14:paraId="6607ACCA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II - </w:t>
      </w:r>
      <w:proofErr w:type="gramStart"/>
      <w:r w:rsidRPr="00333F93">
        <w:t>informar</w:t>
      </w:r>
      <w:proofErr w:type="gramEnd"/>
      <w:r w:rsidRPr="00333F93">
        <w:t xml:space="preserve"> ao agente repassador os procedimentos fixados pelo Conselho Estadual de Orientação de Eficiência Energética;</w:t>
      </w:r>
    </w:p>
    <w:p w14:paraId="4F7CB3B9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III - efetuar a aplicação financeira dos recursos do FAEE transitoriamente disponíveis;</w:t>
      </w:r>
    </w:p>
    <w:p w14:paraId="7E07A116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IV - </w:t>
      </w:r>
      <w:proofErr w:type="gramStart"/>
      <w:r w:rsidRPr="00333F93">
        <w:t>efetuar</w:t>
      </w:r>
      <w:proofErr w:type="gramEnd"/>
      <w:r w:rsidRPr="00333F93">
        <w:t xml:space="preserve"> a contabilidade do FAEE em registros próprios, distintos de sua contabilidade geral, com discriminação das linhas de financiamentos, criando-se subcontas específicas por participantes do FAEE, com vistas à gerência dos respectivos recursos;</w:t>
      </w:r>
    </w:p>
    <w:p w14:paraId="05BBC3E1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V - </w:t>
      </w:r>
      <w:proofErr w:type="gramStart"/>
      <w:r w:rsidRPr="00333F93">
        <w:t>observar</w:t>
      </w:r>
      <w:proofErr w:type="gramEnd"/>
      <w:r w:rsidRPr="00333F93">
        <w:t xml:space="preserve"> as normas fixadas pelo Conselho Estadual de Orientação de Eficiência Energética, pelo Banco Central do Brasil e pelas fontes de financiamento, dentre as quais se incluem as instituições públicas nacionais e internacionais de desenvolvimento e os fundos e programas oficiais que disponibilizam recursos para serem operados pelos agentes repassadores;</w:t>
      </w:r>
    </w:p>
    <w:p w14:paraId="0F563E05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VI - </w:t>
      </w:r>
      <w:proofErr w:type="gramStart"/>
      <w:r w:rsidRPr="00333F93">
        <w:t>prestar</w:t>
      </w:r>
      <w:proofErr w:type="gramEnd"/>
      <w:r w:rsidRPr="00333F93">
        <w:t xml:space="preserve"> contas ao Conselho Estadual de Orientação de Eficiência Energética, mensalmente, apresentando balancetes e demonstrativos contábeis do FAEE, e a posição da carteira em fase de cobrança administrativa e judicial com vistas à recuperação do crédito, considerando como data-base o dia de encerramento do mês imediatamente anterior;</w:t>
      </w:r>
    </w:p>
    <w:p w14:paraId="7A9610E4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VII - apresentar, anualmente, o balanço do FAEE e o relatório das atividades desenvolvidas;</w:t>
      </w:r>
    </w:p>
    <w:p w14:paraId="6A12FB2E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VIII - credenciar instituições financeiras como agentes repassadores, cujas operações poderão ser avalizadas pelo FAEE, observados os critérios definidos pelo Conselho Estadual de Orientação de Eficiência Energética;</w:t>
      </w:r>
    </w:p>
    <w:p w14:paraId="753AF364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IX - </w:t>
      </w:r>
      <w:proofErr w:type="gramStart"/>
      <w:r w:rsidRPr="00333F93">
        <w:t>propor</w:t>
      </w:r>
      <w:proofErr w:type="gramEnd"/>
      <w:r w:rsidRPr="00333F93">
        <w:t xml:space="preserve"> ao Conselho Estadual de Orientação de Eficiência Energética os procedimentos operacionais para os agentes repassadores pleitearem a </w:t>
      </w:r>
      <w:r w:rsidRPr="00333F93">
        <w:lastRenderedPageBreak/>
        <w:t>honra de aval no caso de ocorrer o inadimplemento de obrigações financeiras por parte do beneficiário dos FAEE.</w:t>
      </w:r>
    </w:p>
    <w:p w14:paraId="719841CE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4º - A Desenvolve SP, na qualidade de Agência de Fomento do Estado de São Paulo, fica autorizada a atuar como agente repassador de financiamentos, cujas perdas de crédito sejam supridas com recursos do FAEE, até o limite estabelecido pelo Conselho Estadual de Orientação de Eficiência Energética, na forma prevista no inciso VI do artigo 2º deste decreto.</w:t>
      </w:r>
    </w:p>
    <w:p w14:paraId="79216D0D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Parágrafo único - O agente repassador terá as seguintes atribuições:</w:t>
      </w:r>
    </w:p>
    <w:p w14:paraId="1261773F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1. cumprir os procedimentos definidos pelo Conselho Estadual de Orientação de Eficiência Energética para habilitação e acesso aos recursos do FAEE;</w:t>
      </w:r>
    </w:p>
    <w:p w14:paraId="4028788A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2. analisar, aprovar e conceder individualmente os créditos;</w:t>
      </w:r>
    </w:p>
    <w:p w14:paraId="6BA51900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3. emitir mensalmente relatório analítico, refletindo a posição da carteira global, com as informações relevantes dos processos, incluindo as operações em fase de cobrança administrativa e judicial com vistas à recuperação do crédito, sempre considerando como data-base o dia de encerramento do mês imediatamente anterior;</w:t>
      </w:r>
    </w:p>
    <w:p w14:paraId="37BD1128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4. tomar as providências necessárias, inclusive judiciais, visando à recuperação da totalidade do saldo devedor;</w:t>
      </w:r>
    </w:p>
    <w:p w14:paraId="6B48049E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5. arcar com as despesas decorrentes de medidas para a recuperação do crédito, inclusive honorários e custas processuais, e de contratação de auditoria independente, quando necessário.</w:t>
      </w:r>
    </w:p>
    <w:p w14:paraId="44E6207A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5º - Em cada operação de financiamento com garantia de provimento de recursos do FAEE poderão ser exigidas garantias adicionais, a critério do agente repassador.</w:t>
      </w:r>
    </w:p>
    <w:p w14:paraId="4B78C48F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Parágrafo único - As garantias da operação de financiamento serão consideradas um todo indivisível, em relação ao valor da dívida, sendo vedada a constituição de garantias para parte do crédito.</w:t>
      </w:r>
    </w:p>
    <w:p w14:paraId="73196C6D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6º - O beneficiário dos recursos do FAEE pagará comissão, conforme determinado em cada programa aprovado pelo Conselho Estadual de Orientação de Eficiência Energética, incidente sobre a parcela do crédito garantida, sendo exigível a cada efetiva liberação de parcela, paga à vista ou incorporado ao saldo devedor, a critério do agente repassador.</w:t>
      </w:r>
    </w:p>
    <w:p w14:paraId="31618091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7º - O FAEE, com os recursos existentes em suas contas ou mediante novas dotações orçamentárias consignadas na lei orçamentária do Estado, responsabilizar-se-á integral e exclusivamente:</w:t>
      </w:r>
    </w:p>
    <w:p w14:paraId="048E14F8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 - </w:t>
      </w:r>
      <w:proofErr w:type="gramStart"/>
      <w:r w:rsidRPr="00333F93">
        <w:t>pela</w:t>
      </w:r>
      <w:proofErr w:type="gramEnd"/>
      <w:r w:rsidRPr="00333F93">
        <w:t xml:space="preserve"> parcela do risco de crédito assumido;</w:t>
      </w:r>
    </w:p>
    <w:p w14:paraId="59C71CD9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II - </w:t>
      </w:r>
      <w:proofErr w:type="gramStart"/>
      <w:r w:rsidRPr="00333F93">
        <w:t>pela</w:t>
      </w:r>
      <w:proofErr w:type="gramEnd"/>
      <w:r w:rsidRPr="00333F93">
        <w:t xml:space="preserve"> remuneração e demais despesas decorrentes da administração do FAEE, prestadas pela Desenvolve SP - Agência de Fomento do Estado de São Paulo S.A.</w:t>
      </w:r>
    </w:p>
    <w:p w14:paraId="46AA97DC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8º - A transferência de recursos do FAEE ao agente repassador dar-se-á conforme regulamento de cada programa.</w:t>
      </w:r>
    </w:p>
    <w:p w14:paraId="1990A366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9º - Em caso de renegociação da operação, admite-se a dilação do prazo de garantia de risco pelo FAEE originalmente pactuado, acrescido da equivalente comissão.</w:t>
      </w:r>
    </w:p>
    <w:p w14:paraId="5CD936AD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10 - O adiantamento efetuado pelo FAEE ao agente repassador ser-lhe-á reembolsado caso haja recuperação de créditos, conforme estabelecido no regulamento de cada programa.</w:t>
      </w:r>
    </w:p>
    <w:p w14:paraId="141374A6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Artigo 11 - Este decreto entra em vigor na data de sua publicação.</w:t>
      </w:r>
    </w:p>
    <w:p w14:paraId="496ECA10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lastRenderedPageBreak/>
        <w:t>Palácio dos Bandeirantes, 22 de dezembro de 2023.</w:t>
      </w:r>
    </w:p>
    <w:p w14:paraId="3A4AA5C6" w14:textId="77777777" w:rsidR="00333F93" w:rsidRPr="00333F93" w:rsidRDefault="00333F93" w:rsidP="00C329FC">
      <w:pPr>
        <w:spacing w:before="60" w:after="60" w:line="240" w:lineRule="auto"/>
        <w:ind w:firstLine="1418"/>
        <w:jc w:val="both"/>
      </w:pPr>
      <w:r w:rsidRPr="00333F93">
        <w:t>TARCÍSIO DE FREITAS</w:t>
      </w:r>
    </w:p>
    <w:p w14:paraId="7A7047BD" w14:textId="77777777" w:rsidR="00B810F8" w:rsidRPr="00B810F8" w:rsidRDefault="00B810F8" w:rsidP="00C329FC">
      <w:pPr>
        <w:spacing w:before="60" w:after="60" w:line="240" w:lineRule="auto"/>
        <w:ind w:firstLine="1418"/>
        <w:jc w:val="both"/>
      </w:pPr>
    </w:p>
    <w:sectPr w:rsidR="00B810F8" w:rsidRPr="00B810F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1367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2023-12-26T13:22:00Z</dcterms:created>
  <dcterms:modified xsi:type="dcterms:W3CDTF">2023-12-26T13:26:00Z</dcterms:modified>
</cp:coreProperties>
</file>