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4F48" w14:textId="74CDD2CA" w:rsidR="00862A1F" w:rsidRDefault="00862A1F" w:rsidP="006A5D87">
      <w:pPr>
        <w:tabs>
          <w:tab w:val="left" w:pos="2835"/>
          <w:tab w:val="left" w:pos="7428"/>
        </w:tabs>
        <w:spacing w:line="360" w:lineRule="atLeast"/>
        <w:jc w:val="center"/>
        <w:rPr>
          <w:rFonts w:ascii="Verdana" w:hAnsi="Verdana"/>
          <w:b/>
          <w:spacing w:val="10"/>
          <w:sz w:val="22"/>
          <w:szCs w:val="22"/>
        </w:rPr>
      </w:pPr>
      <w:r w:rsidRPr="00A90A0A">
        <w:rPr>
          <w:rFonts w:ascii="Verdana" w:hAnsi="Verdana"/>
          <w:b/>
          <w:spacing w:val="10"/>
          <w:sz w:val="22"/>
          <w:szCs w:val="22"/>
        </w:rPr>
        <w:t>Lei</w:t>
      </w:r>
      <w:r w:rsidR="003162C0" w:rsidRPr="00A90A0A">
        <w:rPr>
          <w:rFonts w:ascii="Verdana" w:hAnsi="Verdana"/>
          <w:b/>
          <w:spacing w:val="10"/>
          <w:sz w:val="22"/>
          <w:szCs w:val="22"/>
        </w:rPr>
        <w:t xml:space="preserve"> </w:t>
      </w:r>
      <w:r w:rsidR="003D3F42" w:rsidRPr="00A90A0A">
        <w:rPr>
          <w:rFonts w:ascii="Verdana" w:hAnsi="Verdana"/>
          <w:b/>
          <w:spacing w:val="10"/>
          <w:sz w:val="22"/>
          <w:szCs w:val="22"/>
        </w:rPr>
        <w:t xml:space="preserve">Complementar </w:t>
      </w:r>
      <w:r w:rsidRPr="00A90A0A">
        <w:rPr>
          <w:rFonts w:ascii="Verdana" w:hAnsi="Verdana"/>
          <w:b/>
          <w:spacing w:val="10"/>
          <w:sz w:val="22"/>
          <w:szCs w:val="22"/>
        </w:rPr>
        <w:t>nº</w:t>
      </w:r>
      <w:r w:rsidR="003162C0" w:rsidRPr="00A90A0A">
        <w:rPr>
          <w:rFonts w:ascii="Verdana" w:hAnsi="Verdana"/>
          <w:b/>
          <w:spacing w:val="10"/>
          <w:sz w:val="22"/>
          <w:szCs w:val="22"/>
        </w:rPr>
        <w:t xml:space="preserve"> </w:t>
      </w:r>
      <w:r w:rsidR="006A5D87">
        <w:rPr>
          <w:rFonts w:ascii="Verdana" w:hAnsi="Verdana"/>
          <w:b/>
          <w:spacing w:val="10"/>
          <w:sz w:val="22"/>
          <w:szCs w:val="22"/>
        </w:rPr>
        <w:t>1.383</w:t>
      </w:r>
      <w:r w:rsidRPr="00A90A0A">
        <w:rPr>
          <w:rFonts w:ascii="Verdana" w:hAnsi="Verdana"/>
          <w:b/>
          <w:spacing w:val="10"/>
          <w:sz w:val="22"/>
          <w:szCs w:val="22"/>
        </w:rPr>
        <w:t>, de</w:t>
      </w:r>
      <w:r w:rsidR="003162C0" w:rsidRPr="00A90A0A">
        <w:rPr>
          <w:rFonts w:ascii="Verdana" w:hAnsi="Verdana"/>
          <w:b/>
          <w:spacing w:val="10"/>
          <w:sz w:val="22"/>
          <w:szCs w:val="22"/>
        </w:rPr>
        <w:t xml:space="preserve"> </w:t>
      </w:r>
      <w:r w:rsidR="006A5D87">
        <w:rPr>
          <w:rFonts w:ascii="Verdana" w:hAnsi="Verdana"/>
          <w:b/>
          <w:spacing w:val="10"/>
          <w:sz w:val="22"/>
          <w:szCs w:val="22"/>
        </w:rPr>
        <w:t>17</w:t>
      </w:r>
      <w:r w:rsidR="003162C0" w:rsidRPr="00A90A0A">
        <w:rPr>
          <w:rFonts w:ascii="Verdana" w:hAnsi="Verdana"/>
          <w:b/>
          <w:spacing w:val="10"/>
          <w:sz w:val="22"/>
          <w:szCs w:val="22"/>
        </w:rPr>
        <w:t xml:space="preserve"> </w:t>
      </w:r>
      <w:r w:rsidRPr="00A90A0A">
        <w:rPr>
          <w:rFonts w:ascii="Verdana" w:hAnsi="Verdana"/>
          <w:b/>
          <w:spacing w:val="10"/>
          <w:sz w:val="22"/>
          <w:szCs w:val="22"/>
        </w:rPr>
        <w:t>de</w:t>
      </w:r>
      <w:r w:rsidR="003162C0" w:rsidRPr="00A90A0A">
        <w:rPr>
          <w:rFonts w:ascii="Verdana" w:hAnsi="Verdana"/>
          <w:b/>
          <w:spacing w:val="10"/>
          <w:sz w:val="22"/>
          <w:szCs w:val="22"/>
        </w:rPr>
        <w:t xml:space="preserve"> </w:t>
      </w:r>
      <w:r w:rsidR="006A5D87">
        <w:rPr>
          <w:rFonts w:ascii="Verdana" w:hAnsi="Verdana"/>
          <w:b/>
          <w:spacing w:val="10"/>
          <w:sz w:val="22"/>
          <w:szCs w:val="22"/>
        </w:rPr>
        <w:t>março</w:t>
      </w:r>
      <w:r w:rsidR="003162C0" w:rsidRPr="00A90A0A">
        <w:rPr>
          <w:rFonts w:ascii="Verdana" w:hAnsi="Verdana"/>
          <w:b/>
          <w:spacing w:val="10"/>
          <w:sz w:val="22"/>
          <w:szCs w:val="22"/>
        </w:rPr>
        <w:t xml:space="preserve"> </w:t>
      </w:r>
      <w:r w:rsidRPr="00A90A0A">
        <w:rPr>
          <w:rFonts w:ascii="Verdana" w:hAnsi="Verdana"/>
          <w:b/>
          <w:spacing w:val="10"/>
          <w:sz w:val="22"/>
          <w:szCs w:val="22"/>
        </w:rPr>
        <w:t>de 20</w:t>
      </w:r>
      <w:r w:rsidR="00D549FC" w:rsidRPr="00A90A0A">
        <w:rPr>
          <w:rFonts w:ascii="Verdana" w:hAnsi="Verdana"/>
          <w:b/>
          <w:spacing w:val="10"/>
          <w:sz w:val="22"/>
          <w:szCs w:val="22"/>
        </w:rPr>
        <w:t>2</w:t>
      </w:r>
      <w:r w:rsidR="00977DE3">
        <w:rPr>
          <w:rFonts w:ascii="Verdana" w:hAnsi="Verdana"/>
          <w:b/>
          <w:spacing w:val="10"/>
          <w:sz w:val="22"/>
          <w:szCs w:val="22"/>
        </w:rPr>
        <w:t>3</w:t>
      </w:r>
    </w:p>
    <w:p w14:paraId="3C435D84" w14:textId="77777777" w:rsidR="009C4D4D" w:rsidRDefault="009C4D4D" w:rsidP="00A90A0A">
      <w:pPr>
        <w:tabs>
          <w:tab w:val="left" w:pos="2835"/>
          <w:tab w:val="left" w:pos="7428"/>
        </w:tabs>
        <w:spacing w:line="360" w:lineRule="atLeast"/>
        <w:rPr>
          <w:rFonts w:ascii="Verdana" w:hAnsi="Verdana"/>
          <w:b/>
          <w:spacing w:val="10"/>
          <w:sz w:val="22"/>
          <w:szCs w:val="22"/>
        </w:rPr>
      </w:pPr>
    </w:p>
    <w:p w14:paraId="7F67720F" w14:textId="77777777" w:rsidR="005A197F" w:rsidRDefault="005A197F" w:rsidP="00A90A0A">
      <w:pPr>
        <w:tabs>
          <w:tab w:val="left" w:pos="2835"/>
          <w:tab w:val="left" w:pos="7428"/>
        </w:tabs>
        <w:spacing w:line="360" w:lineRule="atLeast"/>
        <w:rPr>
          <w:rFonts w:ascii="Verdana" w:hAnsi="Verdana"/>
          <w:b/>
          <w:spacing w:val="10"/>
          <w:sz w:val="22"/>
          <w:szCs w:val="22"/>
        </w:rPr>
      </w:pPr>
    </w:p>
    <w:p w14:paraId="3E8F92E0" w14:textId="29B72FD6" w:rsidR="009C4D4D" w:rsidRPr="00A90A0A" w:rsidRDefault="009C4D4D" w:rsidP="00E121C9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spacing w:val="10"/>
          <w:sz w:val="22"/>
          <w:szCs w:val="22"/>
        </w:rPr>
      </w:pPr>
      <w:r w:rsidRPr="009C4D4D">
        <w:rPr>
          <w:rFonts w:ascii="Verdana" w:hAnsi="Verdana"/>
          <w:spacing w:val="10"/>
          <w:sz w:val="22"/>
          <w:szCs w:val="22"/>
        </w:rPr>
        <w:t xml:space="preserve">(Projeto de lei complementar nº </w:t>
      </w:r>
      <w:r w:rsidR="00D43A1B">
        <w:rPr>
          <w:rFonts w:ascii="Verdana" w:hAnsi="Verdana"/>
          <w:spacing w:val="10"/>
          <w:sz w:val="22"/>
          <w:szCs w:val="22"/>
        </w:rPr>
        <w:t>35</w:t>
      </w:r>
      <w:r w:rsidRPr="009C4D4D">
        <w:rPr>
          <w:rFonts w:ascii="Verdana" w:hAnsi="Verdana"/>
          <w:spacing w:val="10"/>
          <w:sz w:val="22"/>
          <w:szCs w:val="22"/>
        </w:rPr>
        <w:t>, de 20</w:t>
      </w:r>
      <w:r w:rsidR="00337C6E">
        <w:rPr>
          <w:rFonts w:ascii="Verdana" w:hAnsi="Verdana"/>
          <w:spacing w:val="10"/>
          <w:sz w:val="22"/>
          <w:szCs w:val="22"/>
        </w:rPr>
        <w:t>21</w:t>
      </w:r>
      <w:r w:rsidRPr="009C4D4D">
        <w:rPr>
          <w:rFonts w:ascii="Verdana" w:hAnsi="Verdana"/>
          <w:spacing w:val="10"/>
          <w:sz w:val="22"/>
          <w:szCs w:val="22"/>
        </w:rPr>
        <w:t>, d</w:t>
      </w:r>
      <w:r w:rsidR="007824ED">
        <w:rPr>
          <w:rFonts w:ascii="Verdana" w:hAnsi="Verdana"/>
          <w:spacing w:val="10"/>
          <w:sz w:val="22"/>
          <w:szCs w:val="22"/>
        </w:rPr>
        <w:t>o</w:t>
      </w:r>
      <w:r w:rsidR="00CE262B">
        <w:rPr>
          <w:rFonts w:ascii="Verdana" w:hAnsi="Verdana"/>
          <w:spacing w:val="10"/>
          <w:sz w:val="22"/>
          <w:szCs w:val="22"/>
        </w:rPr>
        <w:t>s</w:t>
      </w:r>
      <w:r w:rsidRPr="009C4D4D">
        <w:rPr>
          <w:rFonts w:ascii="Verdana" w:hAnsi="Verdana"/>
          <w:spacing w:val="10"/>
          <w:sz w:val="22"/>
          <w:szCs w:val="22"/>
        </w:rPr>
        <w:t xml:space="preserve"> Deputad</w:t>
      </w:r>
      <w:r w:rsidR="007824ED">
        <w:rPr>
          <w:rFonts w:ascii="Verdana" w:hAnsi="Verdana"/>
          <w:spacing w:val="10"/>
          <w:sz w:val="22"/>
          <w:szCs w:val="22"/>
        </w:rPr>
        <w:t>o</w:t>
      </w:r>
      <w:r w:rsidR="00CE262B">
        <w:rPr>
          <w:rFonts w:ascii="Verdana" w:hAnsi="Verdana"/>
          <w:spacing w:val="10"/>
          <w:sz w:val="22"/>
          <w:szCs w:val="22"/>
        </w:rPr>
        <w:t>s</w:t>
      </w:r>
      <w:r w:rsidR="00E977F2">
        <w:rPr>
          <w:rFonts w:ascii="Verdana" w:hAnsi="Verdana"/>
          <w:spacing w:val="10"/>
          <w:sz w:val="22"/>
          <w:szCs w:val="22"/>
        </w:rPr>
        <w:t xml:space="preserve"> </w:t>
      </w:r>
      <w:r w:rsidR="00CE262B" w:rsidRPr="00CE262B">
        <w:rPr>
          <w:rFonts w:ascii="Verdana" w:hAnsi="Verdana"/>
          <w:spacing w:val="10"/>
          <w:sz w:val="22"/>
          <w:szCs w:val="22"/>
        </w:rPr>
        <w:t xml:space="preserve">Edmir Chedid – DEM, Coronel Telhada – PP, Sebastião Santos – REPUBLICANOS, Professor Walter </w:t>
      </w:r>
      <w:proofErr w:type="spellStart"/>
      <w:r w:rsidR="00CE262B" w:rsidRPr="00CE262B">
        <w:rPr>
          <w:rFonts w:ascii="Verdana" w:hAnsi="Verdana"/>
          <w:spacing w:val="10"/>
          <w:sz w:val="22"/>
          <w:szCs w:val="22"/>
        </w:rPr>
        <w:t>Vicioni</w:t>
      </w:r>
      <w:proofErr w:type="spellEnd"/>
      <w:r w:rsidR="00CE262B" w:rsidRPr="00CE262B">
        <w:rPr>
          <w:rFonts w:ascii="Verdana" w:hAnsi="Verdana"/>
          <w:spacing w:val="10"/>
          <w:sz w:val="22"/>
          <w:szCs w:val="22"/>
        </w:rPr>
        <w:t xml:space="preserve"> – MDB, Maria Lúcia </w:t>
      </w:r>
      <w:proofErr w:type="spellStart"/>
      <w:r w:rsidR="00CE262B" w:rsidRPr="00CE262B">
        <w:rPr>
          <w:rFonts w:ascii="Verdana" w:hAnsi="Verdana"/>
          <w:spacing w:val="10"/>
          <w:sz w:val="22"/>
          <w:szCs w:val="22"/>
        </w:rPr>
        <w:t>Amary</w:t>
      </w:r>
      <w:proofErr w:type="spellEnd"/>
      <w:r w:rsidR="00CE262B" w:rsidRPr="00CE262B">
        <w:rPr>
          <w:rFonts w:ascii="Verdana" w:hAnsi="Verdana"/>
          <w:spacing w:val="10"/>
          <w:sz w:val="22"/>
          <w:szCs w:val="22"/>
        </w:rPr>
        <w:t xml:space="preserve"> – PSDB, Cezar – PSDB, Patrícia Gama – PSDB, Ricardo Madalena – PL, Altair Moraes – REPUBLICANOS, Rodrigo Moraes – DEM, Wellington Moura – REPUBLICANOS, Conte Lopes – PP, Rodrigo </w:t>
      </w:r>
      <w:proofErr w:type="spellStart"/>
      <w:r w:rsidR="00CE262B" w:rsidRPr="00CE262B">
        <w:rPr>
          <w:rFonts w:ascii="Verdana" w:hAnsi="Verdana"/>
          <w:spacing w:val="10"/>
          <w:sz w:val="22"/>
          <w:szCs w:val="22"/>
        </w:rPr>
        <w:t>Gambale</w:t>
      </w:r>
      <w:proofErr w:type="spellEnd"/>
      <w:r w:rsidR="00CE262B" w:rsidRPr="00CE262B">
        <w:rPr>
          <w:rFonts w:ascii="Verdana" w:hAnsi="Verdana"/>
          <w:spacing w:val="10"/>
          <w:sz w:val="22"/>
          <w:szCs w:val="22"/>
        </w:rPr>
        <w:t xml:space="preserve"> – PSL, Roque Barbiere – AVANTE, Marcio Nakashima – PDT, Dra. Damaris Moura – PSDB, Estevam Galvão – DEM, Coronel </w:t>
      </w:r>
      <w:proofErr w:type="spellStart"/>
      <w:r w:rsidR="00CE262B" w:rsidRPr="00CE262B">
        <w:rPr>
          <w:rFonts w:ascii="Verdana" w:hAnsi="Verdana"/>
          <w:spacing w:val="10"/>
          <w:sz w:val="22"/>
          <w:szCs w:val="22"/>
        </w:rPr>
        <w:t>Nishikawa</w:t>
      </w:r>
      <w:proofErr w:type="spellEnd"/>
      <w:r w:rsidR="00CE262B" w:rsidRPr="00CE262B">
        <w:rPr>
          <w:rFonts w:ascii="Verdana" w:hAnsi="Verdana"/>
          <w:spacing w:val="10"/>
          <w:sz w:val="22"/>
          <w:szCs w:val="22"/>
        </w:rPr>
        <w:t xml:space="preserve"> – PSL e Itamar Borges – MDB</w:t>
      </w:r>
      <w:r w:rsidRPr="009C4D4D">
        <w:rPr>
          <w:rFonts w:ascii="Verdana" w:hAnsi="Verdana"/>
          <w:spacing w:val="10"/>
          <w:sz w:val="22"/>
          <w:szCs w:val="22"/>
        </w:rPr>
        <w:t>)</w:t>
      </w:r>
    </w:p>
    <w:p w14:paraId="250264BB" w14:textId="77777777" w:rsidR="004A3DEC" w:rsidRDefault="004A3DEC" w:rsidP="004A3DEC">
      <w:pPr>
        <w:tabs>
          <w:tab w:val="left" w:pos="2835"/>
          <w:tab w:val="left" w:pos="7428"/>
        </w:tabs>
        <w:spacing w:line="360" w:lineRule="atLeast"/>
        <w:jc w:val="center"/>
        <w:rPr>
          <w:rFonts w:ascii="Verdana" w:hAnsi="Verdana"/>
          <w:spacing w:val="10"/>
          <w:sz w:val="22"/>
          <w:szCs w:val="22"/>
        </w:rPr>
      </w:pPr>
    </w:p>
    <w:p w14:paraId="67DF2D1A" w14:textId="77777777" w:rsidR="00862A1F" w:rsidRPr="00A90A0A" w:rsidRDefault="00862A1F" w:rsidP="004A3DEC">
      <w:pPr>
        <w:tabs>
          <w:tab w:val="left" w:pos="2835"/>
          <w:tab w:val="left" w:pos="7428"/>
        </w:tabs>
        <w:spacing w:line="360" w:lineRule="atLeast"/>
        <w:jc w:val="center"/>
        <w:rPr>
          <w:rFonts w:ascii="Verdana" w:hAnsi="Verdana"/>
          <w:spacing w:val="10"/>
          <w:sz w:val="22"/>
          <w:szCs w:val="22"/>
        </w:rPr>
      </w:pPr>
      <w:r w:rsidRPr="00A90A0A">
        <w:rPr>
          <w:rFonts w:ascii="Verdana" w:hAnsi="Verdana"/>
          <w:spacing w:val="10"/>
          <w:sz w:val="22"/>
          <w:szCs w:val="22"/>
        </w:rPr>
        <w:fldChar w:fldCharType="begin"/>
      </w:r>
      <w:r w:rsidRPr="00A90A0A">
        <w:rPr>
          <w:rFonts w:ascii="Verdana" w:hAnsi="Verdana"/>
          <w:spacing w:val="10"/>
          <w:sz w:val="22"/>
          <w:szCs w:val="22"/>
        </w:rPr>
        <w:instrText>FILLIN "Qual a ementa?"</w:instrText>
      </w:r>
      <w:r w:rsidRPr="00A90A0A">
        <w:rPr>
          <w:rFonts w:ascii="Verdana" w:hAnsi="Verdana"/>
          <w:spacing w:val="10"/>
          <w:sz w:val="22"/>
          <w:szCs w:val="22"/>
        </w:rPr>
        <w:fldChar w:fldCharType="end"/>
      </w:r>
    </w:p>
    <w:p w14:paraId="558C9111" w14:textId="61F76E2B" w:rsidR="008F0C94" w:rsidRDefault="0095700F" w:rsidP="0095700F">
      <w:pPr>
        <w:tabs>
          <w:tab w:val="left" w:pos="2835"/>
          <w:tab w:val="left" w:pos="7428"/>
        </w:tabs>
        <w:spacing w:line="240" w:lineRule="exact"/>
        <w:ind w:left="3402" w:firstLine="851"/>
        <w:jc w:val="both"/>
        <w:rPr>
          <w:rFonts w:ascii="Verdana" w:hAnsi="Verdana"/>
          <w:spacing w:val="10"/>
          <w:sz w:val="22"/>
          <w:szCs w:val="22"/>
        </w:rPr>
      </w:pPr>
      <w:r w:rsidRPr="0095700F">
        <w:rPr>
          <w:rFonts w:ascii="Verdana" w:hAnsi="Verdana"/>
          <w:i/>
          <w:spacing w:val="10"/>
          <w:sz w:val="22"/>
          <w:szCs w:val="22"/>
        </w:rPr>
        <w:t>Altera a Lei Complementar nº 1.261, de 29 de abril de 2015, que estabelece condições e requisitos para a classificação de Estâncias e de Municípios de Interesse Turístico e dá providências correlatas</w:t>
      </w:r>
    </w:p>
    <w:p w14:paraId="0CA60C6D" w14:textId="33AFAB57" w:rsidR="005A197F" w:rsidRDefault="005A197F" w:rsidP="008F0C94">
      <w:pPr>
        <w:tabs>
          <w:tab w:val="left" w:pos="2835"/>
          <w:tab w:val="left" w:pos="7428"/>
        </w:tabs>
        <w:spacing w:line="240" w:lineRule="atLeast"/>
        <w:rPr>
          <w:rFonts w:ascii="Verdana" w:hAnsi="Verdana"/>
          <w:spacing w:val="10"/>
          <w:sz w:val="22"/>
          <w:szCs w:val="22"/>
        </w:rPr>
      </w:pPr>
    </w:p>
    <w:p w14:paraId="754CED16" w14:textId="77777777" w:rsidR="0095700F" w:rsidRPr="00A90A0A" w:rsidRDefault="0095700F" w:rsidP="008F0C94">
      <w:pPr>
        <w:tabs>
          <w:tab w:val="left" w:pos="2835"/>
          <w:tab w:val="left" w:pos="7428"/>
        </w:tabs>
        <w:spacing w:line="240" w:lineRule="atLeast"/>
        <w:rPr>
          <w:rFonts w:ascii="Verdana" w:hAnsi="Verdana"/>
          <w:spacing w:val="10"/>
          <w:sz w:val="22"/>
          <w:szCs w:val="22"/>
        </w:rPr>
      </w:pPr>
    </w:p>
    <w:p w14:paraId="59375D81" w14:textId="77777777" w:rsidR="00A0385A" w:rsidRPr="00A90A0A" w:rsidRDefault="00862A1F" w:rsidP="00A0385A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rFonts w:ascii="Verdana" w:hAnsi="Verdana"/>
          <w:b/>
          <w:spacing w:val="10"/>
          <w:sz w:val="22"/>
          <w:szCs w:val="22"/>
        </w:rPr>
      </w:pPr>
      <w:r w:rsidRPr="00A90A0A">
        <w:rPr>
          <w:rFonts w:ascii="Verdana" w:hAnsi="Verdana"/>
          <w:b/>
          <w:spacing w:val="10"/>
          <w:sz w:val="22"/>
          <w:szCs w:val="22"/>
        </w:rPr>
        <w:t>O GOV</w:t>
      </w:r>
      <w:r w:rsidR="00A0385A" w:rsidRPr="00A90A0A">
        <w:rPr>
          <w:rFonts w:ascii="Verdana" w:hAnsi="Verdana"/>
          <w:b/>
          <w:spacing w:val="10"/>
          <w:sz w:val="22"/>
          <w:szCs w:val="22"/>
        </w:rPr>
        <w:t>ERNADOR DO ESTADO DE SÃO PAULO:</w:t>
      </w:r>
    </w:p>
    <w:p w14:paraId="3C0B08A3" w14:textId="77777777" w:rsidR="008F0C94" w:rsidRPr="00A90A0A" w:rsidRDefault="008F0C94" w:rsidP="005A197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  <w:sz w:val="22"/>
          <w:szCs w:val="22"/>
        </w:rPr>
      </w:pPr>
    </w:p>
    <w:p w14:paraId="0E5728D7" w14:textId="77777777" w:rsidR="008F0C94" w:rsidRPr="00A90A0A" w:rsidRDefault="008F0C94" w:rsidP="005A197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  <w:sz w:val="22"/>
          <w:szCs w:val="22"/>
        </w:rPr>
      </w:pPr>
    </w:p>
    <w:p w14:paraId="40C6687E" w14:textId="77777777" w:rsidR="00862A1F" w:rsidRPr="00A90A0A" w:rsidRDefault="00EE52C3" w:rsidP="005A197F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rFonts w:ascii="Verdana" w:hAnsi="Verdana"/>
          <w:b/>
          <w:spacing w:val="10"/>
          <w:sz w:val="22"/>
          <w:szCs w:val="22"/>
        </w:rPr>
      </w:pPr>
      <w:r w:rsidRPr="00A90A0A">
        <w:rPr>
          <w:rFonts w:ascii="Verdana" w:hAnsi="Verdana"/>
          <w:b/>
          <w:spacing w:val="10"/>
          <w:sz w:val="22"/>
          <w:szCs w:val="22"/>
        </w:rPr>
        <w:t>Faço saber que a Assemble</w:t>
      </w:r>
      <w:r w:rsidR="00862A1F" w:rsidRPr="00A90A0A">
        <w:rPr>
          <w:rFonts w:ascii="Verdana" w:hAnsi="Verdana"/>
          <w:b/>
          <w:spacing w:val="10"/>
          <w:sz w:val="22"/>
          <w:szCs w:val="22"/>
        </w:rPr>
        <w:t>ia Legislativa decreta e eu promulgo a seguinte lei</w:t>
      </w:r>
      <w:r w:rsidR="003D3F42" w:rsidRPr="00A90A0A">
        <w:rPr>
          <w:rFonts w:ascii="Verdana" w:hAnsi="Verdana"/>
          <w:b/>
          <w:spacing w:val="10"/>
          <w:sz w:val="22"/>
          <w:szCs w:val="22"/>
        </w:rPr>
        <w:t xml:space="preserve"> complementar</w:t>
      </w:r>
      <w:r w:rsidR="00862A1F" w:rsidRPr="00A90A0A">
        <w:rPr>
          <w:rFonts w:ascii="Verdana" w:hAnsi="Verdana"/>
          <w:b/>
          <w:spacing w:val="10"/>
          <w:sz w:val="22"/>
          <w:szCs w:val="22"/>
        </w:rPr>
        <w:t>:</w:t>
      </w:r>
    </w:p>
    <w:p w14:paraId="16A37FF2" w14:textId="77777777" w:rsidR="00862A1F" w:rsidRPr="00A90A0A" w:rsidRDefault="00862A1F" w:rsidP="005A197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  <w:sz w:val="22"/>
          <w:szCs w:val="22"/>
        </w:rPr>
      </w:pPr>
    </w:p>
    <w:p w14:paraId="69B77A63" w14:textId="0C942C96" w:rsid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/>
          <w:spacing w:val="10"/>
          <w:sz w:val="22"/>
          <w:szCs w:val="22"/>
        </w:rPr>
        <w:t>Artigo 1º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Ficam alterados, com a redação que segue, os dispositivos adiante indicados da Lei Complementar nº 1.261, de 29 de abril de 2015:</w:t>
      </w:r>
    </w:p>
    <w:p w14:paraId="2B7F29F8" w14:textId="77777777" w:rsidR="004D1FE3" w:rsidRPr="004D1FE3" w:rsidRDefault="004D1FE3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3EDF14A6" w14:textId="77777777" w:rsidR="004D1FE3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/>
          <w:spacing w:val="10"/>
          <w:sz w:val="22"/>
          <w:szCs w:val="22"/>
        </w:rPr>
        <w:t>I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</w:t>
      </w:r>
      <w:proofErr w:type="gramStart"/>
      <w:r w:rsidRPr="004D1FE3">
        <w:rPr>
          <w:rFonts w:ascii="Verdana" w:hAnsi="Verdana"/>
          <w:bCs/>
          <w:spacing w:val="10"/>
          <w:sz w:val="22"/>
          <w:szCs w:val="22"/>
        </w:rPr>
        <w:t>o</w:t>
      </w:r>
      <w:proofErr w:type="gramEnd"/>
      <w:r w:rsidRPr="004D1FE3">
        <w:rPr>
          <w:rFonts w:ascii="Verdana" w:hAnsi="Verdana"/>
          <w:bCs/>
          <w:spacing w:val="10"/>
          <w:sz w:val="22"/>
          <w:szCs w:val="22"/>
        </w:rPr>
        <w:t xml:space="preserve"> § 2º do artigo 5º:</w:t>
      </w:r>
    </w:p>
    <w:p w14:paraId="06B09899" w14:textId="77777777" w:rsidR="004D1FE3" w:rsidRDefault="004D1FE3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0F27FD06" w14:textId="13CD0977" w:rsidR="004D1FE3" w:rsidRPr="004D1FE3" w:rsidRDefault="004D1FE3" w:rsidP="00917709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“Artigo 5º - ...</w:t>
      </w:r>
      <w:r>
        <w:rPr>
          <w:rFonts w:ascii="Verdana" w:hAnsi="Verdana"/>
          <w:bCs/>
          <w:spacing w:val="10"/>
          <w:sz w:val="22"/>
          <w:szCs w:val="22"/>
        </w:rPr>
        <w:t>..................................................</w:t>
      </w:r>
    </w:p>
    <w:p w14:paraId="2B2FA177" w14:textId="77777777" w:rsidR="004D1FE3" w:rsidRDefault="004D1FE3" w:rsidP="00917709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23573491" w14:textId="0377EF9A" w:rsidR="004D1FE3" w:rsidRPr="004D1FE3" w:rsidRDefault="004D1FE3" w:rsidP="00917709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 xml:space="preserve">§ 2º - Caberá à Secretaria de Estado competente para os assuntos relacionados ao turismo manifestar-se sobre </w:t>
      </w:r>
      <w:r w:rsidRPr="004D1FE3">
        <w:rPr>
          <w:rFonts w:ascii="Verdana" w:hAnsi="Verdana"/>
          <w:bCs/>
          <w:spacing w:val="10"/>
          <w:sz w:val="22"/>
          <w:szCs w:val="22"/>
        </w:rPr>
        <w:lastRenderedPageBreak/>
        <w:t>cada projeto e, para efeito do disposto no artigo 6º desta lei complementar, elaborar o ranqueamento das Estâncias e dos Municípios de Interesse Turístico, com base nos requisitos estabelecidos nesta lei complementar, escalonados de acordo com a matriz de avaliação proposta em regulamento, para efeito de classificação de, no máximo, 80 (oitenta) Estâncias e 165 (cento e sessenta e cinco) Municípios de Interesse Turístico, que serão habilitados a receber recursos do Fundo de Melhoria dos Municípios Turísticos, previsto no artigo 146 da Constituição do Estado.” (NR)</w:t>
      </w:r>
    </w:p>
    <w:p w14:paraId="37A14B08" w14:textId="77777777" w:rsidR="00974B13" w:rsidRDefault="00974B13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63886748" w14:textId="4C501779" w:rsidR="004D1FE3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974B13">
        <w:rPr>
          <w:rFonts w:ascii="Verdana" w:hAnsi="Verdana"/>
          <w:b/>
          <w:spacing w:val="10"/>
          <w:sz w:val="22"/>
          <w:szCs w:val="22"/>
        </w:rPr>
        <w:t>II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</w:t>
      </w:r>
      <w:proofErr w:type="gramStart"/>
      <w:r w:rsidRPr="004D1FE3">
        <w:rPr>
          <w:rFonts w:ascii="Verdana" w:hAnsi="Verdana"/>
          <w:bCs/>
          <w:spacing w:val="10"/>
          <w:sz w:val="22"/>
          <w:szCs w:val="22"/>
        </w:rPr>
        <w:t>os</w:t>
      </w:r>
      <w:proofErr w:type="gramEnd"/>
      <w:r w:rsidRPr="004D1FE3">
        <w:rPr>
          <w:rFonts w:ascii="Verdana" w:hAnsi="Verdana"/>
          <w:bCs/>
          <w:spacing w:val="10"/>
          <w:sz w:val="22"/>
          <w:szCs w:val="22"/>
        </w:rPr>
        <w:t xml:space="preserve"> §§ 1º e 2º do artigo 6º:</w:t>
      </w:r>
    </w:p>
    <w:p w14:paraId="3D9B5E36" w14:textId="77777777" w:rsidR="00974B13" w:rsidRDefault="00974B13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02EF0F60" w14:textId="0E0C9235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“Artigo 6º - ...</w:t>
      </w:r>
      <w:r w:rsidR="00974B13">
        <w:rPr>
          <w:rFonts w:ascii="Verdana" w:hAnsi="Verdana"/>
          <w:bCs/>
          <w:spacing w:val="10"/>
          <w:sz w:val="22"/>
          <w:szCs w:val="22"/>
        </w:rPr>
        <w:t>..................................................</w:t>
      </w:r>
    </w:p>
    <w:p w14:paraId="431B85E7" w14:textId="77777777" w:rsidR="00974B13" w:rsidRDefault="00974B1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282D7DAA" w14:textId="1351C5BC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§ 1º - Até 8 (oito) Estâncias Turísticas que obtiverem menor pontuação no ranqueamento poderão passar a ser classificadas como Municípios de Interesse Turístico, para fins de habilitação ao recebimento de recursos do Fundo de Melhoria dos Municípios Turísticos, podendo permanecer utilizando o termo Estância Turística exclusivamente para denominação do município, se assim tiver adotado oficialmente.</w:t>
      </w:r>
    </w:p>
    <w:p w14:paraId="70424B8F" w14:textId="77777777" w:rsidR="00CA1008" w:rsidRDefault="00CA1008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743AA78B" w14:textId="3B4C1159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 xml:space="preserve">§ 2º - Poderão ser classificados como Estância Turística até 8 (oito) Municípios de Interesse Turístico </w:t>
      </w:r>
      <w:proofErr w:type="gramStart"/>
      <w:r w:rsidRPr="004D1FE3">
        <w:rPr>
          <w:rFonts w:ascii="Verdana" w:hAnsi="Verdana"/>
          <w:bCs/>
          <w:spacing w:val="10"/>
          <w:sz w:val="22"/>
          <w:szCs w:val="22"/>
        </w:rPr>
        <w:t>melhor</w:t>
      </w:r>
      <w:proofErr w:type="gramEnd"/>
      <w:r w:rsidRPr="004D1FE3">
        <w:rPr>
          <w:rFonts w:ascii="Verdana" w:hAnsi="Verdana"/>
          <w:bCs/>
          <w:spacing w:val="10"/>
          <w:sz w:val="22"/>
          <w:szCs w:val="22"/>
        </w:rPr>
        <w:t xml:space="preserve"> ranqueados que obtiverem pontuação superior à das Estâncias Turísticas de que trata o § 1º deste artigo, com base nos critérios abaixo relacionados:</w:t>
      </w:r>
    </w:p>
    <w:p w14:paraId="1DE9FC31" w14:textId="77777777" w:rsidR="00CA1008" w:rsidRDefault="00CA1008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093A669A" w14:textId="3A59B10C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1. fluxo turístico permanente;</w:t>
      </w:r>
    </w:p>
    <w:p w14:paraId="2E1FC9CC" w14:textId="77777777" w:rsidR="00CA1008" w:rsidRDefault="00CA1008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207ED307" w14:textId="347CADAE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2. atrativos turísticos;</w:t>
      </w:r>
    </w:p>
    <w:p w14:paraId="198A4316" w14:textId="77777777" w:rsidR="00917709" w:rsidRDefault="00917709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3C72660C" w14:textId="720DE154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3. equipamentos e serviços turísticos.” (NR)</w:t>
      </w:r>
    </w:p>
    <w:p w14:paraId="1072549E" w14:textId="77777777" w:rsidR="00CA1008" w:rsidRDefault="00CA1008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0BC19E2C" w14:textId="41FFA83D" w:rsidR="004D1FE3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CA1008">
        <w:rPr>
          <w:rFonts w:ascii="Verdana" w:hAnsi="Verdana"/>
          <w:b/>
          <w:spacing w:val="10"/>
          <w:sz w:val="22"/>
          <w:szCs w:val="22"/>
        </w:rPr>
        <w:t>III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</w:t>
      </w:r>
      <w:r w:rsidR="003E17AA">
        <w:rPr>
          <w:rFonts w:ascii="Verdana" w:hAnsi="Verdana"/>
          <w:bCs/>
          <w:spacing w:val="10"/>
          <w:sz w:val="22"/>
          <w:szCs w:val="22"/>
        </w:rPr>
        <w:t>Vetado</w:t>
      </w:r>
      <w:r w:rsidRPr="004D1FE3">
        <w:rPr>
          <w:rFonts w:ascii="Verdana" w:hAnsi="Verdana"/>
          <w:bCs/>
          <w:spacing w:val="10"/>
          <w:sz w:val="22"/>
          <w:szCs w:val="22"/>
        </w:rPr>
        <w:t>:</w:t>
      </w:r>
    </w:p>
    <w:p w14:paraId="5F24140F" w14:textId="77777777" w:rsidR="004D1FE3" w:rsidRPr="004D1FE3" w:rsidRDefault="004D1FE3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06227CFD" w14:textId="77777777" w:rsidR="004D1FE3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CA1008">
        <w:rPr>
          <w:rFonts w:ascii="Verdana" w:hAnsi="Verdana"/>
          <w:b/>
          <w:spacing w:val="10"/>
          <w:sz w:val="22"/>
          <w:szCs w:val="22"/>
        </w:rPr>
        <w:t>Artigo 2º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Incluam-se os seguintes dispositivos, com a redação que segue, na Lei Complementar nº 1.261, de 29 de abril de 2015:</w:t>
      </w:r>
    </w:p>
    <w:p w14:paraId="48A6773D" w14:textId="77777777" w:rsidR="00CA1008" w:rsidRDefault="00CA1008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74219AD9" w14:textId="7406EC5C" w:rsidR="004D1FE3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CA1008">
        <w:rPr>
          <w:rFonts w:ascii="Verdana" w:hAnsi="Verdana"/>
          <w:b/>
          <w:spacing w:val="10"/>
          <w:sz w:val="22"/>
          <w:szCs w:val="22"/>
        </w:rPr>
        <w:t>I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</w:t>
      </w:r>
      <w:proofErr w:type="gramStart"/>
      <w:r w:rsidRPr="004D1FE3">
        <w:rPr>
          <w:rFonts w:ascii="Verdana" w:hAnsi="Verdana"/>
          <w:bCs/>
          <w:spacing w:val="10"/>
          <w:sz w:val="22"/>
          <w:szCs w:val="22"/>
        </w:rPr>
        <w:t>o</w:t>
      </w:r>
      <w:proofErr w:type="gramEnd"/>
      <w:r w:rsidRPr="004D1FE3">
        <w:rPr>
          <w:rFonts w:ascii="Verdana" w:hAnsi="Verdana"/>
          <w:bCs/>
          <w:spacing w:val="10"/>
          <w:sz w:val="22"/>
          <w:szCs w:val="22"/>
        </w:rPr>
        <w:t xml:space="preserve"> § 2º-A ao artigo 6º:</w:t>
      </w:r>
    </w:p>
    <w:p w14:paraId="7D1FB3CD" w14:textId="77777777" w:rsidR="00B42221" w:rsidRDefault="00B42221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483E65BA" w14:textId="08635800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“Artigo 6º - ...</w:t>
      </w:r>
      <w:r w:rsidR="00B42221">
        <w:rPr>
          <w:rFonts w:ascii="Verdana" w:hAnsi="Verdana"/>
          <w:bCs/>
          <w:spacing w:val="10"/>
          <w:sz w:val="22"/>
          <w:szCs w:val="22"/>
        </w:rPr>
        <w:t>..................................................</w:t>
      </w:r>
    </w:p>
    <w:p w14:paraId="7FFF10BD" w14:textId="77777777" w:rsidR="00B42221" w:rsidRDefault="00B42221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27EF1B33" w14:textId="07F93F53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§2º-A - Até 8 (oito) Municípios de Interesse Turístico que obtiverem menor pontuação no ranqueamento poderão passar a compor a lista reserva prevista no artigo 7º-A desta lei complementar.” (NR)</w:t>
      </w:r>
    </w:p>
    <w:p w14:paraId="23098285" w14:textId="77777777" w:rsidR="009B7492" w:rsidRDefault="009B7492" w:rsidP="004D1FE3">
      <w:pPr>
        <w:spacing w:line="360" w:lineRule="atLeast"/>
        <w:ind w:firstLineChars="1232" w:firstLine="2844"/>
        <w:jc w:val="both"/>
        <w:rPr>
          <w:rFonts w:ascii="Verdana" w:hAnsi="Verdana"/>
          <w:b/>
          <w:spacing w:val="10"/>
          <w:sz w:val="22"/>
          <w:szCs w:val="22"/>
        </w:rPr>
      </w:pPr>
    </w:p>
    <w:p w14:paraId="1AF337F1" w14:textId="5297C265" w:rsidR="004D1FE3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B42221">
        <w:rPr>
          <w:rFonts w:ascii="Verdana" w:hAnsi="Verdana"/>
          <w:b/>
          <w:spacing w:val="10"/>
          <w:sz w:val="22"/>
          <w:szCs w:val="22"/>
        </w:rPr>
        <w:t>II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</w:t>
      </w:r>
      <w:proofErr w:type="gramStart"/>
      <w:r w:rsidRPr="004D1FE3">
        <w:rPr>
          <w:rFonts w:ascii="Verdana" w:hAnsi="Verdana"/>
          <w:bCs/>
          <w:spacing w:val="10"/>
          <w:sz w:val="22"/>
          <w:szCs w:val="22"/>
        </w:rPr>
        <w:t>o</w:t>
      </w:r>
      <w:proofErr w:type="gramEnd"/>
      <w:r w:rsidRPr="004D1FE3">
        <w:rPr>
          <w:rFonts w:ascii="Verdana" w:hAnsi="Verdana"/>
          <w:bCs/>
          <w:spacing w:val="10"/>
          <w:sz w:val="22"/>
          <w:szCs w:val="22"/>
        </w:rPr>
        <w:t xml:space="preserve"> artigo 7º-A ao Capítulo V (Disposições Finais):</w:t>
      </w:r>
    </w:p>
    <w:p w14:paraId="5B367599" w14:textId="77777777" w:rsidR="00B42221" w:rsidRDefault="00B42221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7FB5C5CE" w14:textId="77322EB3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“Artigo 7º-A - A Assembleia Legislativa pode aprovar lei estabelecendo lista reserva de municípios que atendam as condições para classificação como Interesse Turístico, nos termos dos artigos 4º e 5º desta lei complementar, além do máximo de 165 (cento e sessenta e cinco) Municípios de Interesse Turístico previsto no § 2º do artigo 5º.</w:t>
      </w:r>
    </w:p>
    <w:p w14:paraId="3A98AA9B" w14:textId="77777777" w:rsidR="00611EA5" w:rsidRDefault="00611EA5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7B7264F2" w14:textId="67F4EF99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>§ 1º - Os municípios que compõem a lista reserva prevista no ‘caput’ deste artigo não serão habilitados a receber recursos do Fundo de Melhoria dos Municípios Turísticos, previsto no artigo 146 da Constituição do Estado.</w:t>
      </w:r>
    </w:p>
    <w:p w14:paraId="5FA4E00D" w14:textId="77777777" w:rsidR="00611EA5" w:rsidRDefault="00611EA5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6E979484" w14:textId="0DD5D6FA" w:rsidR="004D1FE3" w:rsidRPr="004D1FE3" w:rsidRDefault="004D1FE3" w:rsidP="00AD2654">
      <w:pPr>
        <w:spacing w:line="320" w:lineRule="atLeast"/>
        <w:ind w:left="1134" w:firstLine="1701"/>
        <w:jc w:val="both"/>
        <w:rPr>
          <w:rFonts w:ascii="Verdana" w:hAnsi="Verdana"/>
          <w:bCs/>
          <w:spacing w:val="10"/>
          <w:sz w:val="22"/>
          <w:szCs w:val="22"/>
        </w:rPr>
      </w:pPr>
      <w:r w:rsidRPr="004D1FE3">
        <w:rPr>
          <w:rFonts w:ascii="Verdana" w:hAnsi="Verdana"/>
          <w:bCs/>
          <w:spacing w:val="10"/>
          <w:sz w:val="22"/>
          <w:szCs w:val="22"/>
        </w:rPr>
        <w:t xml:space="preserve">§ 2º - Até 8 (oito) municípios da lista reserva poderão, por ocasião da Lei Revisional, serem classificados como </w:t>
      </w:r>
      <w:r w:rsidRPr="004D1FE3">
        <w:rPr>
          <w:rFonts w:ascii="Verdana" w:hAnsi="Verdana"/>
          <w:bCs/>
          <w:spacing w:val="10"/>
          <w:sz w:val="22"/>
          <w:szCs w:val="22"/>
        </w:rPr>
        <w:lastRenderedPageBreak/>
        <w:t>Municípios de Interesse Turístico habilitados a receber recursos do Fundo de Melhoria dos Municípios Turísticos, desde que obtenham pontuação superior à dos Municípios de Interesse Turístico de que trata o § 2º do artigo 6º desta lei complementar, com base nos critérios do ranqueamento.” (NR)</w:t>
      </w:r>
    </w:p>
    <w:p w14:paraId="48298EDA" w14:textId="77777777" w:rsidR="004D1FE3" w:rsidRPr="004D1FE3" w:rsidRDefault="004D1FE3" w:rsidP="004D1FE3">
      <w:pPr>
        <w:spacing w:line="360" w:lineRule="atLeast"/>
        <w:ind w:firstLineChars="1232" w:firstLine="2834"/>
        <w:jc w:val="both"/>
        <w:rPr>
          <w:rFonts w:ascii="Verdana" w:hAnsi="Verdana"/>
          <w:bCs/>
          <w:spacing w:val="10"/>
          <w:sz w:val="22"/>
          <w:szCs w:val="22"/>
        </w:rPr>
      </w:pPr>
    </w:p>
    <w:p w14:paraId="1B1DB3DF" w14:textId="06AEE438" w:rsidR="005A197F" w:rsidRPr="004D1FE3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Cs/>
          <w:spacing w:val="10"/>
          <w:sz w:val="22"/>
          <w:szCs w:val="22"/>
        </w:rPr>
      </w:pPr>
      <w:r w:rsidRPr="00611EA5">
        <w:rPr>
          <w:rFonts w:ascii="Verdana" w:hAnsi="Verdana"/>
          <w:b/>
          <w:spacing w:val="10"/>
          <w:sz w:val="22"/>
          <w:szCs w:val="22"/>
        </w:rPr>
        <w:t>Artigo 3º</w:t>
      </w:r>
      <w:r w:rsidRPr="004D1FE3">
        <w:rPr>
          <w:rFonts w:ascii="Verdana" w:hAnsi="Verdana"/>
          <w:bCs/>
          <w:spacing w:val="10"/>
          <w:sz w:val="22"/>
          <w:szCs w:val="22"/>
        </w:rPr>
        <w:t xml:space="preserve"> - Esta lei complementar entra em vigor na data de sua publicação, produzindo efeitos a partir do exercício financeiro seguinte.</w:t>
      </w:r>
    </w:p>
    <w:p w14:paraId="7E75E9B8" w14:textId="77777777" w:rsidR="004D1FE3" w:rsidRPr="00284717" w:rsidRDefault="004D1FE3" w:rsidP="004D1FE3">
      <w:pPr>
        <w:spacing w:line="360" w:lineRule="atLeast"/>
        <w:ind w:firstLineChars="1232" w:firstLine="2844"/>
        <w:jc w:val="both"/>
        <w:rPr>
          <w:rFonts w:ascii="Verdana" w:hAnsi="Verdana"/>
          <w:b/>
          <w:spacing w:val="10"/>
          <w:sz w:val="22"/>
          <w:szCs w:val="22"/>
        </w:rPr>
      </w:pPr>
    </w:p>
    <w:p w14:paraId="5D8A2ACE" w14:textId="77777777" w:rsidR="008F0C94" w:rsidRPr="00A90A0A" w:rsidRDefault="008F0C94" w:rsidP="008F0C94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rFonts w:ascii="Verdana" w:hAnsi="Verdana"/>
          <w:b/>
          <w:spacing w:val="10"/>
          <w:sz w:val="22"/>
          <w:szCs w:val="22"/>
        </w:rPr>
      </w:pPr>
      <w:r w:rsidRPr="00A90A0A">
        <w:rPr>
          <w:rFonts w:ascii="Verdana" w:hAnsi="Verdana"/>
          <w:b/>
          <w:spacing w:val="10"/>
          <w:sz w:val="22"/>
          <w:szCs w:val="22"/>
        </w:rPr>
        <w:t>Palácio dos Bandeirantes, aos</w:t>
      </w:r>
      <w:r w:rsidR="00A90A0A">
        <w:rPr>
          <w:rFonts w:ascii="Verdana" w:hAnsi="Verdana"/>
          <w:b/>
          <w:spacing w:val="10"/>
          <w:sz w:val="22"/>
          <w:szCs w:val="22"/>
        </w:rPr>
        <w:t xml:space="preserve">        </w:t>
      </w:r>
      <w:r w:rsidRPr="00A90A0A">
        <w:rPr>
          <w:rFonts w:ascii="Verdana" w:hAnsi="Verdana"/>
          <w:b/>
          <w:spacing w:val="10"/>
          <w:sz w:val="22"/>
          <w:szCs w:val="22"/>
        </w:rPr>
        <w:t>de</w:t>
      </w:r>
    </w:p>
    <w:p w14:paraId="189914E7" w14:textId="77777777" w:rsidR="008F0C94" w:rsidRPr="00A90A0A" w:rsidRDefault="008F0C94" w:rsidP="008F0C94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  <w:sz w:val="22"/>
          <w:szCs w:val="22"/>
        </w:rPr>
      </w:pPr>
      <w:r w:rsidRPr="00A90A0A">
        <w:rPr>
          <w:rFonts w:ascii="Verdana" w:hAnsi="Verdana"/>
          <w:b/>
          <w:spacing w:val="10"/>
          <w:sz w:val="22"/>
          <w:szCs w:val="22"/>
        </w:rPr>
        <w:t>de 202</w:t>
      </w:r>
      <w:r w:rsidR="00977DE3">
        <w:rPr>
          <w:rFonts w:ascii="Verdana" w:hAnsi="Verdana"/>
          <w:b/>
          <w:spacing w:val="10"/>
          <w:sz w:val="22"/>
          <w:szCs w:val="22"/>
        </w:rPr>
        <w:t>3</w:t>
      </w:r>
      <w:r w:rsidRPr="00A90A0A">
        <w:rPr>
          <w:rFonts w:ascii="Verdana" w:hAnsi="Verdana"/>
          <w:b/>
          <w:spacing w:val="10"/>
          <w:sz w:val="22"/>
          <w:szCs w:val="22"/>
        </w:rPr>
        <w:t>.</w:t>
      </w:r>
    </w:p>
    <w:p w14:paraId="43C3A341" w14:textId="77777777" w:rsidR="008F0C94" w:rsidRPr="00A90A0A" w:rsidRDefault="008F0C94" w:rsidP="008F0C94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spacing w:val="10"/>
          <w:sz w:val="22"/>
          <w:szCs w:val="22"/>
        </w:rPr>
      </w:pPr>
    </w:p>
    <w:p w14:paraId="435ADD70" w14:textId="77777777" w:rsidR="008F0C94" w:rsidRPr="00A90A0A" w:rsidRDefault="008F0C94" w:rsidP="008F0C94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spacing w:val="10"/>
          <w:sz w:val="22"/>
          <w:szCs w:val="22"/>
        </w:rPr>
      </w:pPr>
    </w:p>
    <w:p w14:paraId="0FEDEFF3" w14:textId="77777777" w:rsidR="008F0C94" w:rsidRPr="00A90A0A" w:rsidRDefault="008F0C94" w:rsidP="008F0C94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spacing w:val="10"/>
          <w:sz w:val="22"/>
          <w:szCs w:val="22"/>
        </w:rPr>
      </w:pPr>
    </w:p>
    <w:p w14:paraId="361B0416" w14:textId="77777777" w:rsidR="008F0C94" w:rsidRPr="00A90A0A" w:rsidRDefault="008F0C94" w:rsidP="008F0C94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spacing w:val="10"/>
          <w:sz w:val="22"/>
          <w:szCs w:val="22"/>
        </w:rPr>
      </w:pPr>
    </w:p>
    <w:p w14:paraId="45788C6B" w14:textId="77777777" w:rsidR="00862A1F" w:rsidRPr="00A90A0A" w:rsidRDefault="00977DE3" w:rsidP="00A0218C">
      <w:pPr>
        <w:tabs>
          <w:tab w:val="left" w:pos="2835"/>
          <w:tab w:val="left" w:pos="7428"/>
        </w:tabs>
        <w:spacing w:line="360" w:lineRule="atLeast"/>
        <w:ind w:firstLine="2835"/>
        <w:jc w:val="center"/>
        <w:rPr>
          <w:rFonts w:ascii="Verdana" w:hAnsi="Verdana"/>
          <w:spacing w:val="10"/>
          <w:sz w:val="22"/>
          <w:szCs w:val="22"/>
        </w:rPr>
      </w:pPr>
      <w:r>
        <w:rPr>
          <w:rFonts w:ascii="Verdana" w:hAnsi="Verdana"/>
          <w:b/>
          <w:spacing w:val="10"/>
          <w:sz w:val="22"/>
          <w:szCs w:val="22"/>
        </w:rPr>
        <w:t>Tarcísio de Freitas</w:t>
      </w:r>
    </w:p>
    <w:sectPr w:rsidR="00862A1F" w:rsidRPr="00A90A0A">
      <w:headerReference w:type="even" r:id="rId7"/>
      <w:headerReference w:type="default" r:id="rId8"/>
      <w:headerReference w:type="first" r:id="rId9"/>
      <w:pgSz w:w="11907" w:h="16840" w:code="9"/>
      <w:pgMar w:top="2835" w:right="1134" w:bottom="1418" w:left="170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02DB" w14:textId="77777777" w:rsidR="00E73884" w:rsidRDefault="00E73884">
      <w:r>
        <w:separator/>
      </w:r>
    </w:p>
  </w:endnote>
  <w:endnote w:type="continuationSeparator" w:id="0">
    <w:p w14:paraId="0DA9E7B9" w14:textId="77777777" w:rsidR="00E73884" w:rsidRDefault="00E7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4E19" w14:textId="77777777" w:rsidR="00E73884" w:rsidRDefault="00E73884">
      <w:r>
        <w:separator/>
      </w:r>
    </w:p>
  </w:footnote>
  <w:footnote w:type="continuationSeparator" w:id="0">
    <w:p w14:paraId="6CB6FE9B" w14:textId="77777777" w:rsidR="00E73884" w:rsidRDefault="00E7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F096" w14:textId="77777777" w:rsidR="006D4F85" w:rsidRDefault="006D4F85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B0561B" w14:textId="77777777" w:rsidR="006D4F85" w:rsidRDefault="006D4F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FE13" w14:textId="77777777" w:rsidR="006D4F85" w:rsidRDefault="006D4F85">
    <w:pPr>
      <w:pStyle w:val="Cabealho"/>
      <w:framePr w:wrap="around" w:vAnchor="text" w:hAnchor="margin" w:xAlign="center" w:y="1"/>
      <w:rPr>
        <w:rStyle w:val="Nmerodepgina"/>
        <w:b/>
        <w:sz w:val="26"/>
      </w:rPr>
    </w:pPr>
  </w:p>
  <w:p w14:paraId="7523EC27" w14:textId="77777777" w:rsidR="006D4F85" w:rsidRDefault="006D4F85">
    <w:pPr>
      <w:pStyle w:val="Cabealho"/>
      <w:framePr w:wrap="around" w:vAnchor="text" w:hAnchor="margin" w:xAlign="center" w:y="1"/>
      <w:jc w:val="center"/>
      <w:rPr>
        <w:rStyle w:val="Nmerodepgina"/>
        <w:b/>
        <w:sz w:val="26"/>
      </w:rPr>
    </w:pPr>
    <w:r>
      <w:object w:dxaOrig="6036" w:dyaOrig="6432" w14:anchorId="4BC05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40996159" r:id="rId2"/>
      </w:object>
    </w:r>
  </w:p>
  <w:p w14:paraId="7E27786B" w14:textId="77777777" w:rsidR="006D4F85" w:rsidRDefault="006D4F85">
    <w:pPr>
      <w:pStyle w:val="Cabealho"/>
      <w:framePr w:wrap="around" w:vAnchor="text" w:hAnchor="margin" w:xAlign="center" w:y="1"/>
      <w:rPr>
        <w:rStyle w:val="Nmerodepgina"/>
        <w:b/>
        <w:sz w:val="26"/>
      </w:rPr>
    </w:pPr>
  </w:p>
  <w:p w14:paraId="4B43A292" w14:textId="77777777" w:rsidR="006D4F85" w:rsidRDefault="006D4F85">
    <w:pPr>
      <w:pStyle w:val="Cabealho"/>
      <w:framePr w:wrap="around" w:vAnchor="text" w:hAnchor="margin" w:xAlign="center" w:y="1"/>
      <w:jc w:val="center"/>
      <w:rPr>
        <w:rStyle w:val="Nmerodepgina"/>
        <w:b/>
        <w:sz w:val="26"/>
      </w:rPr>
    </w:pPr>
    <w:r>
      <w:rPr>
        <w:rStyle w:val="Nmerodepgina"/>
        <w:b/>
        <w:sz w:val="26"/>
      </w:rPr>
      <w:t xml:space="preserve">-   </w:t>
    </w:r>
    <w:r>
      <w:rPr>
        <w:rStyle w:val="Nmerodepgina"/>
        <w:b/>
        <w:sz w:val="26"/>
      </w:rPr>
      <w:fldChar w:fldCharType="begin"/>
    </w:r>
    <w:r>
      <w:rPr>
        <w:rStyle w:val="Nmerodepgina"/>
        <w:b/>
        <w:sz w:val="26"/>
      </w:rPr>
      <w:instrText xml:space="preserve">PAGE  </w:instrText>
    </w:r>
    <w:r>
      <w:rPr>
        <w:rStyle w:val="Nmerodepgina"/>
        <w:b/>
        <w:sz w:val="26"/>
      </w:rPr>
      <w:fldChar w:fldCharType="separate"/>
    </w:r>
    <w:r w:rsidR="00CC3296">
      <w:rPr>
        <w:rStyle w:val="Nmerodepgina"/>
        <w:b/>
        <w:noProof/>
        <w:sz w:val="26"/>
      </w:rPr>
      <w:t>2</w:t>
    </w:r>
    <w:r>
      <w:rPr>
        <w:rStyle w:val="Nmerodepgina"/>
        <w:b/>
        <w:sz w:val="26"/>
      </w:rPr>
      <w:fldChar w:fldCharType="end"/>
    </w:r>
    <w:r>
      <w:rPr>
        <w:rStyle w:val="Nmerodepgina"/>
        <w:b/>
        <w:sz w:val="26"/>
      </w:rPr>
      <w:t xml:space="preserve">   -</w:t>
    </w:r>
  </w:p>
  <w:p w14:paraId="7CC0A50F" w14:textId="77777777" w:rsidR="006D4F85" w:rsidRDefault="006D4F85">
    <w:pPr>
      <w:pStyle w:val="Cabealho"/>
      <w:framePr w:wrap="around" w:vAnchor="text" w:hAnchor="margin" w:xAlign="center" w:y="1"/>
      <w:jc w:val="center"/>
      <w:rPr>
        <w:rStyle w:val="Nmerodepgina"/>
      </w:rPr>
    </w:pPr>
  </w:p>
  <w:p w14:paraId="0589317B" w14:textId="77777777" w:rsidR="006D4F85" w:rsidRDefault="006D4F8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1"/>
  <w:bookmarkEnd w:id="0"/>
  <w:p w14:paraId="441C5789" w14:textId="77777777" w:rsidR="006D4F85" w:rsidRDefault="006D4F85">
    <w:pPr>
      <w:pStyle w:val="Cabealho"/>
      <w:jc w:val="center"/>
    </w:pPr>
    <w:r>
      <w:object w:dxaOrig="6036" w:dyaOrig="6432" w14:anchorId="00580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115.5pt" fillcolor="window">
          <v:imagedata r:id="rId1" o:title=""/>
        </v:shape>
        <o:OLEObject Type="Embed" ProgID="PBrush" ShapeID="_x0000_i1026" DrawAspect="Content" ObjectID="_1740996160" r:id="rId2"/>
      </w:object>
    </w:r>
  </w:p>
  <w:p w14:paraId="0E56ED07" w14:textId="77777777" w:rsidR="006D4F85" w:rsidRPr="00A90A0A" w:rsidRDefault="006D4F85">
    <w:pPr>
      <w:pStyle w:val="Cabealho"/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562"/>
    <w:multiLevelType w:val="hybridMultilevel"/>
    <w:tmpl w:val="9DB0F0BE"/>
    <w:lvl w:ilvl="0" w:tplc="656A2236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F1C6DD0A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4F8E6E70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4588BDF2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8A1E09D0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D758C5AA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A22036BA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D43233FC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BB0A096C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 w16cid:durableId="16073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C0"/>
    <w:rsid w:val="000013D1"/>
    <w:rsid w:val="00004E53"/>
    <w:rsid w:val="00017927"/>
    <w:rsid w:val="00032076"/>
    <w:rsid w:val="0006742C"/>
    <w:rsid w:val="00077AF0"/>
    <w:rsid w:val="000B2EF1"/>
    <w:rsid w:val="000B7DAB"/>
    <w:rsid w:val="000C31F7"/>
    <w:rsid w:val="000E68F0"/>
    <w:rsid w:val="000F04D0"/>
    <w:rsid w:val="001137AB"/>
    <w:rsid w:val="00116AE6"/>
    <w:rsid w:val="00120BE8"/>
    <w:rsid w:val="00145ABC"/>
    <w:rsid w:val="00147937"/>
    <w:rsid w:val="00155098"/>
    <w:rsid w:val="00157BAE"/>
    <w:rsid w:val="001704AA"/>
    <w:rsid w:val="00176CA0"/>
    <w:rsid w:val="00185271"/>
    <w:rsid w:val="00186DFD"/>
    <w:rsid w:val="001A7ADD"/>
    <w:rsid w:val="001B4D9C"/>
    <w:rsid w:val="001B7757"/>
    <w:rsid w:val="001D0F5A"/>
    <w:rsid w:val="001E40F7"/>
    <w:rsid w:val="002058E3"/>
    <w:rsid w:val="00226140"/>
    <w:rsid w:val="0023265D"/>
    <w:rsid w:val="00232A2E"/>
    <w:rsid w:val="00275875"/>
    <w:rsid w:val="00284717"/>
    <w:rsid w:val="0028497B"/>
    <w:rsid w:val="00296CF9"/>
    <w:rsid w:val="002B2C98"/>
    <w:rsid w:val="002B63F5"/>
    <w:rsid w:val="002E0D16"/>
    <w:rsid w:val="0030730B"/>
    <w:rsid w:val="003129A0"/>
    <w:rsid w:val="00313EF6"/>
    <w:rsid w:val="003162C0"/>
    <w:rsid w:val="00326BC9"/>
    <w:rsid w:val="003365A5"/>
    <w:rsid w:val="00337C6E"/>
    <w:rsid w:val="003B1C90"/>
    <w:rsid w:val="003D3F42"/>
    <w:rsid w:val="003E17AA"/>
    <w:rsid w:val="003F66F9"/>
    <w:rsid w:val="0040799E"/>
    <w:rsid w:val="004450EC"/>
    <w:rsid w:val="00445731"/>
    <w:rsid w:val="00455AC7"/>
    <w:rsid w:val="00460955"/>
    <w:rsid w:val="00467DBE"/>
    <w:rsid w:val="004A3DEC"/>
    <w:rsid w:val="004D1FE3"/>
    <w:rsid w:val="004E16FB"/>
    <w:rsid w:val="00504775"/>
    <w:rsid w:val="00517F41"/>
    <w:rsid w:val="0052121A"/>
    <w:rsid w:val="00547B5C"/>
    <w:rsid w:val="00571D04"/>
    <w:rsid w:val="00592E99"/>
    <w:rsid w:val="005953CC"/>
    <w:rsid w:val="005A101B"/>
    <w:rsid w:val="005A197F"/>
    <w:rsid w:val="005A669D"/>
    <w:rsid w:val="005B1798"/>
    <w:rsid w:val="005B43BB"/>
    <w:rsid w:val="005C6E86"/>
    <w:rsid w:val="005D2F44"/>
    <w:rsid w:val="00611EA5"/>
    <w:rsid w:val="00612556"/>
    <w:rsid w:val="00662B42"/>
    <w:rsid w:val="00676475"/>
    <w:rsid w:val="006768DA"/>
    <w:rsid w:val="00683F19"/>
    <w:rsid w:val="006A5D87"/>
    <w:rsid w:val="006B686E"/>
    <w:rsid w:val="006C2842"/>
    <w:rsid w:val="006C67FB"/>
    <w:rsid w:val="006D4F85"/>
    <w:rsid w:val="007332DB"/>
    <w:rsid w:val="007409C7"/>
    <w:rsid w:val="00754470"/>
    <w:rsid w:val="007824ED"/>
    <w:rsid w:val="00794303"/>
    <w:rsid w:val="007A06FA"/>
    <w:rsid w:val="007A19F0"/>
    <w:rsid w:val="007B211C"/>
    <w:rsid w:val="007D1246"/>
    <w:rsid w:val="00804D39"/>
    <w:rsid w:val="008112CA"/>
    <w:rsid w:val="00842893"/>
    <w:rsid w:val="00850755"/>
    <w:rsid w:val="0085337D"/>
    <w:rsid w:val="00862A1F"/>
    <w:rsid w:val="00871AC2"/>
    <w:rsid w:val="008A7D34"/>
    <w:rsid w:val="008C0327"/>
    <w:rsid w:val="008D1264"/>
    <w:rsid w:val="008F0ADD"/>
    <w:rsid w:val="008F0C94"/>
    <w:rsid w:val="008F550F"/>
    <w:rsid w:val="00917709"/>
    <w:rsid w:val="00920AD7"/>
    <w:rsid w:val="00925C2E"/>
    <w:rsid w:val="009552AA"/>
    <w:rsid w:val="0095700F"/>
    <w:rsid w:val="00974B13"/>
    <w:rsid w:val="00977DE3"/>
    <w:rsid w:val="00991147"/>
    <w:rsid w:val="009B7492"/>
    <w:rsid w:val="009C4D4D"/>
    <w:rsid w:val="009D4298"/>
    <w:rsid w:val="009E780C"/>
    <w:rsid w:val="00A0218C"/>
    <w:rsid w:val="00A0385A"/>
    <w:rsid w:val="00A35BEA"/>
    <w:rsid w:val="00A4759D"/>
    <w:rsid w:val="00A5336D"/>
    <w:rsid w:val="00A90A0A"/>
    <w:rsid w:val="00A97B2B"/>
    <w:rsid w:val="00AA6381"/>
    <w:rsid w:val="00AB152E"/>
    <w:rsid w:val="00AB3159"/>
    <w:rsid w:val="00AB7EC1"/>
    <w:rsid w:val="00AD1589"/>
    <w:rsid w:val="00AD2654"/>
    <w:rsid w:val="00B162EC"/>
    <w:rsid w:val="00B40480"/>
    <w:rsid w:val="00B42221"/>
    <w:rsid w:val="00B51161"/>
    <w:rsid w:val="00B51C55"/>
    <w:rsid w:val="00B734D8"/>
    <w:rsid w:val="00BA10FD"/>
    <w:rsid w:val="00BA22D4"/>
    <w:rsid w:val="00BA2590"/>
    <w:rsid w:val="00BB5494"/>
    <w:rsid w:val="00BD1555"/>
    <w:rsid w:val="00BF5445"/>
    <w:rsid w:val="00C03B26"/>
    <w:rsid w:val="00C10F8C"/>
    <w:rsid w:val="00C21E92"/>
    <w:rsid w:val="00C25F55"/>
    <w:rsid w:val="00C43656"/>
    <w:rsid w:val="00C61BFA"/>
    <w:rsid w:val="00C64346"/>
    <w:rsid w:val="00C67B7D"/>
    <w:rsid w:val="00C75612"/>
    <w:rsid w:val="00C9052A"/>
    <w:rsid w:val="00CA1008"/>
    <w:rsid w:val="00CC3296"/>
    <w:rsid w:val="00CD61CA"/>
    <w:rsid w:val="00CE12DE"/>
    <w:rsid w:val="00CE262B"/>
    <w:rsid w:val="00D04435"/>
    <w:rsid w:val="00D13B07"/>
    <w:rsid w:val="00D36FD2"/>
    <w:rsid w:val="00D43A1B"/>
    <w:rsid w:val="00D5332F"/>
    <w:rsid w:val="00D549FC"/>
    <w:rsid w:val="00D609E0"/>
    <w:rsid w:val="00D62750"/>
    <w:rsid w:val="00D81D02"/>
    <w:rsid w:val="00D84B98"/>
    <w:rsid w:val="00DA06C1"/>
    <w:rsid w:val="00DC7D5A"/>
    <w:rsid w:val="00DD5CDD"/>
    <w:rsid w:val="00DE71E7"/>
    <w:rsid w:val="00E0322B"/>
    <w:rsid w:val="00E121C9"/>
    <w:rsid w:val="00E23E1A"/>
    <w:rsid w:val="00E66F0C"/>
    <w:rsid w:val="00E73884"/>
    <w:rsid w:val="00E927F7"/>
    <w:rsid w:val="00E977F2"/>
    <w:rsid w:val="00EB7E66"/>
    <w:rsid w:val="00ED6ED5"/>
    <w:rsid w:val="00EE52C3"/>
    <w:rsid w:val="00F05367"/>
    <w:rsid w:val="00F05BB1"/>
    <w:rsid w:val="00F07CBD"/>
    <w:rsid w:val="00F20DA1"/>
    <w:rsid w:val="00F654A0"/>
    <w:rsid w:val="00F85279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73CC514E"/>
  <w15:chartTrackingRefBased/>
  <w15:docId w15:val="{1A09ED19-094A-4FA5-92E0-03CD8EAB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tabs>
        <w:tab w:val="left" w:pos="2520"/>
      </w:tabs>
      <w:spacing w:line="360" w:lineRule="atLeast"/>
      <w:ind w:firstLine="2835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tabs>
        <w:tab w:val="left" w:pos="2835"/>
      </w:tabs>
      <w:spacing w:line="360" w:lineRule="atLeast"/>
      <w:ind w:firstLine="2880"/>
      <w:jc w:val="both"/>
    </w:pPr>
    <w:rPr>
      <w:sz w:val="24"/>
      <w:szCs w:val="24"/>
    </w:rPr>
  </w:style>
  <w:style w:type="paragraph" w:styleId="Corpodetexto">
    <w:name w:val="Body Text"/>
    <w:basedOn w:val="Normal"/>
    <w:semiHidden/>
    <w:pPr>
      <w:tabs>
        <w:tab w:val="left" w:pos="2835"/>
      </w:tabs>
      <w:spacing w:line="360" w:lineRule="atLeast"/>
      <w:jc w:val="both"/>
    </w:pPr>
    <w:rPr>
      <w:spacing w:val="10"/>
      <w:sz w:val="26"/>
    </w:rPr>
  </w:style>
  <w:style w:type="paragraph" w:customStyle="1" w:styleId="Autgrafo-corpo">
    <w:name w:val="Autógrafo - corpo"/>
    <w:basedOn w:val="Normal"/>
    <w:rsid w:val="008F0C94"/>
    <w:pPr>
      <w:spacing w:line="360" w:lineRule="auto"/>
      <w:ind w:firstLine="1134"/>
      <w:jc w:val="both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L-MAMartins\Dados%20de%20aplicativos\Microsoft\Modelos\Lei%20com%20timbre.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 com timbre.05</Template>
  <TotalTime>0</TotalTime>
  <Pages>4</Pages>
  <Words>660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Leis</vt:lpstr>
    </vt:vector>
  </TitlesOfParts>
  <Company>Prodesp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</dc:title>
  <dc:subject>Modelo de lei</dc:subject>
  <dc:creator>égina</dc:creator>
  <cp:keywords/>
  <dc:description/>
  <cp:lastModifiedBy>Egina Ayako Yamamoto Spinula</cp:lastModifiedBy>
  <cp:revision>2</cp:revision>
  <cp:lastPrinted>2021-12-03T17:34:00Z</cp:lastPrinted>
  <dcterms:created xsi:type="dcterms:W3CDTF">2023-03-22T16:16:00Z</dcterms:created>
  <dcterms:modified xsi:type="dcterms:W3CDTF">2023-03-22T16:16:00Z</dcterms:modified>
</cp:coreProperties>
</file>