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33B8" w14:textId="77777777" w:rsidR="0098753F" w:rsidRPr="0007259F" w:rsidRDefault="0098753F" w:rsidP="00F35440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  <w:r w:rsidRPr="0007259F">
        <w:rPr>
          <w:rFonts w:ascii="Helvetica" w:hAnsi="Helvetica"/>
          <w:b/>
          <w:bCs/>
          <w:sz w:val="22"/>
          <w:szCs w:val="22"/>
        </w:rPr>
        <w:t>DECRETO Nº 65.253, DE 15 DE OUTUBRO DE 2020</w:t>
      </w:r>
    </w:p>
    <w:p w14:paraId="1AEA06B8" w14:textId="77777777" w:rsidR="00F35440" w:rsidRPr="0007259F" w:rsidRDefault="00F35440" w:rsidP="00F35440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</w:p>
    <w:p w14:paraId="1F107D03" w14:textId="77777777" w:rsidR="0098753F" w:rsidRPr="0007259F" w:rsidRDefault="0098753F" w:rsidP="00F35440">
      <w:pPr>
        <w:pStyle w:val="TextosemFormatao"/>
        <w:ind w:left="3686"/>
        <w:jc w:val="both"/>
        <w:rPr>
          <w:rFonts w:ascii="Helvetica" w:hAnsi="Helvetica"/>
          <w:sz w:val="22"/>
          <w:szCs w:val="22"/>
        </w:rPr>
      </w:pPr>
      <w:r w:rsidRPr="0007259F">
        <w:rPr>
          <w:rFonts w:ascii="Helvetica" w:hAnsi="Helvetica"/>
          <w:sz w:val="22"/>
          <w:szCs w:val="22"/>
        </w:rPr>
        <w:t xml:space="preserve">Introduz alterações no Regulamento do Imposto sobre Operações Relativas à Circulação de Mercadorias e sobre Prestações de Serviços de Transporte Interestadual e Intermunicipal e de Comunicação </w:t>
      </w:r>
      <w:r w:rsidR="00F35440" w:rsidRPr="0007259F">
        <w:rPr>
          <w:rFonts w:ascii="Helvetica" w:hAnsi="Helvetica"/>
          <w:sz w:val="22"/>
          <w:szCs w:val="22"/>
        </w:rPr>
        <w:t>–</w:t>
      </w:r>
      <w:r w:rsidRPr="0007259F">
        <w:rPr>
          <w:rFonts w:ascii="Helvetica" w:hAnsi="Helvetica"/>
          <w:sz w:val="22"/>
          <w:szCs w:val="22"/>
        </w:rPr>
        <w:t xml:space="preserve"> RICMS</w:t>
      </w:r>
    </w:p>
    <w:p w14:paraId="5698B075" w14:textId="77777777" w:rsidR="00F35440" w:rsidRPr="0007259F" w:rsidRDefault="00F35440" w:rsidP="00F35440">
      <w:pPr>
        <w:pStyle w:val="TextosemFormatao"/>
        <w:ind w:left="3686"/>
        <w:jc w:val="both"/>
        <w:rPr>
          <w:rFonts w:ascii="Helvetica" w:hAnsi="Helvetica"/>
          <w:sz w:val="22"/>
          <w:szCs w:val="22"/>
        </w:rPr>
      </w:pPr>
    </w:p>
    <w:p w14:paraId="3AB66693" w14:textId="77777777" w:rsidR="000768C1" w:rsidRPr="0085372C" w:rsidRDefault="000768C1" w:rsidP="009B2929">
      <w:pPr>
        <w:autoSpaceDE w:val="0"/>
        <w:autoSpaceDN w:val="0"/>
        <w:adjustRightInd w:val="0"/>
        <w:spacing w:before="60" w:after="60" w:line="240" w:lineRule="auto"/>
        <w:ind w:firstLine="1418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Helvetica" w:hAnsi="Helvetica" w:cs="Helvetica"/>
          <w:color w:val="000000"/>
        </w:rPr>
        <w:t>JOÃO DORIA, GOVERNADOR DO ESTADO DE SÃO PAULO, no uso de suas atribuições legais e tendo em vista o disposto no artigo 34 da Lei nº 6.374, de 1º de março de 1989, combinado com o artigo 22 da Lei nº 17.293, de 15 de outubro de 2020,</w:t>
      </w:r>
      <w:r w:rsidR="0085372C">
        <w:rPr>
          <w:rFonts w:ascii="Calibri" w:hAnsi="Calibri" w:cs="Calibri"/>
          <w:color w:val="000000"/>
        </w:rPr>
        <w:t xml:space="preserve"> </w:t>
      </w:r>
      <w:r w:rsidR="0085372C">
        <w:rPr>
          <w:rFonts w:ascii="Calibri" w:hAnsi="Calibri" w:cs="Calibri"/>
          <w:b/>
          <w:bCs/>
          <w:i/>
          <w:iCs/>
          <w:color w:val="000000"/>
        </w:rPr>
        <w:t xml:space="preserve">- retificação abaixo - </w:t>
      </w:r>
    </w:p>
    <w:p w14:paraId="78952093" w14:textId="77777777" w:rsidR="009B2929" w:rsidRDefault="009B2929" w:rsidP="009B292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leia-se como segue e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como constou:</w:t>
      </w:r>
    </w:p>
    <w:p w14:paraId="1CAAB6EB" w14:textId="0C0F9F4B" w:rsidR="009B2929" w:rsidRDefault="009B2929" w:rsidP="009B292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JO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DORIA, GOVERNADOR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PAULO, no uso de suas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legais e tendo em vista o disposto no artigo 34 da Lei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6.374, de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1989, combinado com o artigo 22 da Lei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17.293, de 15 de outubro de 2020,</w:t>
      </w:r>
    </w:p>
    <w:p w14:paraId="0289E8BA" w14:textId="747A8E1C" w:rsidR="000768C1" w:rsidRDefault="000768C1" w:rsidP="00076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Decreta:</w:t>
      </w:r>
    </w:p>
    <w:p w14:paraId="7FB1DA71" w14:textId="77777777" w:rsidR="000768C1" w:rsidRDefault="000768C1" w:rsidP="00076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1° - Passa a vigorar, com a redação que se segue, o inciso XXVI do “caput” do artigo 55 do Regulamento do Imposto sobre Operações Relativas à Circulação de Mercadorias e sobre Prestações de Serviços de Transporte Interestadual e Intermunicipal e de Comunicação - RICMS, aprovado pelo Decreto 45.490, de 30 de novembro de 2000: </w:t>
      </w:r>
    </w:p>
    <w:p w14:paraId="65162E11" w14:textId="77777777" w:rsidR="000768C1" w:rsidRDefault="000768C1" w:rsidP="00076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“XXVI - etanol anidro combustível - EAC, classificado no código 2207.10.0100, querosene de aviação classificado no código 2710.00.0401, exceto na hipótese prevista no inciso XX do artigo 54, e gasolina classificada nos códigos 2710.00.0301, 2710.00.0302, 2710.00.0303 e 2710.00.0399;”. (NR)</w:t>
      </w:r>
    </w:p>
    <w:p w14:paraId="1EF22D40" w14:textId="77777777" w:rsidR="000768C1" w:rsidRDefault="000768C1" w:rsidP="00076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</w:p>
    <w:p w14:paraId="4BBEB961" w14:textId="77777777" w:rsidR="000768C1" w:rsidRDefault="000768C1" w:rsidP="00076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2° - Ficam acrescentados, com a redação que se segue, os dispositivos adiante indicados ao Regulamento do Imposto sobre Operações Relativas à Circulação de Mercadorias e sobre Prestações de Serviços de Transporte Interestadual e Intermunicipal e de Comunicação - RICMS, aprovado pelo Decreto 45.490, de 30 de novembro de 2000: </w:t>
      </w:r>
    </w:p>
    <w:p w14:paraId="6EDAA2DD" w14:textId="77777777" w:rsidR="000768C1" w:rsidRDefault="000768C1" w:rsidP="00076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o</w:t>
      </w:r>
      <w:proofErr w:type="gramEnd"/>
      <w:r>
        <w:rPr>
          <w:rFonts w:ascii="Helvetica" w:hAnsi="Helvetica" w:cs="Helvetica"/>
          <w:color w:val="000000"/>
        </w:rPr>
        <w:t xml:space="preserve"> parágrafo único ao artigo 53-A:</w:t>
      </w:r>
    </w:p>
    <w:p w14:paraId="54A6F650" w14:textId="2EAE1F49" w:rsidR="000768C1" w:rsidRDefault="000768C1" w:rsidP="00076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Helvetica" w:hAnsi="Helvetica" w:cs="Helvetica"/>
          <w:color w:val="000000"/>
        </w:rPr>
        <w:t>“Parágrafo único - A alíquota prevista neste artigo fica sujeita a um complemento de 2,4% (dois inteiros e quatro décimos por cento), passando as operações internas indicadas no “caput” a ter uma carga tributária de 9,4% (nove inteiros e quatro décimos por cento) (Lei 17.293/20, art. 22).”</w:t>
      </w:r>
      <w:r w:rsidR="0085372C" w:rsidRPr="0085372C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="0085372C">
        <w:rPr>
          <w:rFonts w:ascii="Calibri" w:hAnsi="Calibri" w:cs="Calibri"/>
          <w:b/>
          <w:bCs/>
          <w:i/>
          <w:iCs/>
          <w:color w:val="000000"/>
        </w:rPr>
        <w:t xml:space="preserve">- retificação abaixo </w:t>
      </w:r>
      <w:r w:rsidR="009B2929">
        <w:rPr>
          <w:rFonts w:ascii="Calibri" w:hAnsi="Calibri" w:cs="Calibri"/>
          <w:b/>
          <w:bCs/>
          <w:i/>
          <w:iCs/>
          <w:color w:val="000000"/>
        </w:rPr>
        <w:t>–</w:t>
      </w:r>
    </w:p>
    <w:p w14:paraId="32E95159" w14:textId="77777777" w:rsidR="009B2929" w:rsidRDefault="009B2929" w:rsidP="009B292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leia-se como segue e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como constou:</w:t>
      </w:r>
    </w:p>
    <w:p w14:paraId="3BE28A97" w14:textId="77777777" w:rsidR="009B2929" w:rsidRDefault="009B2929" w:rsidP="009B292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o</w:t>
      </w:r>
      <w:proofErr w:type="gramEnd"/>
      <w:r>
        <w:rPr>
          <w:rFonts w:ascii="Helvetica" w:hAnsi="Helvetica" w:cs="Helvetica"/>
          <w:color w:val="000000"/>
        </w:rPr>
        <w:t xml:space="preserve"> 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nico ao artigo 53-A:</w:t>
      </w:r>
    </w:p>
    <w:p w14:paraId="1FF9AAB6" w14:textId="7CEB92BA" w:rsidR="009B2929" w:rsidRDefault="009B2929" w:rsidP="009B292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Par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nico - A al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quota prevista neste artigo fica sujeita a um complemento de 2,4% (dois inteiros e quatro d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cimos por cento), passando as opera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internas indicadas no </w:t>
      </w: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caput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a ter uma carga tribut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de 9,4% (nove inteiros e quatro d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cimos por cento) (Lei 17.293/20, art. 22).</w:t>
      </w:r>
      <w:r>
        <w:rPr>
          <w:rFonts w:ascii="Arial" w:hAnsi="Arial" w:cs="Arial"/>
          <w:color w:val="000000"/>
        </w:rPr>
        <w:t>”</w:t>
      </w:r>
    </w:p>
    <w:p w14:paraId="244448FC" w14:textId="77777777" w:rsidR="000768C1" w:rsidRDefault="000768C1" w:rsidP="00076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ao</w:t>
      </w:r>
      <w:proofErr w:type="gramEnd"/>
      <w:r>
        <w:rPr>
          <w:rFonts w:ascii="Helvetica" w:hAnsi="Helvetica" w:cs="Helvetica"/>
          <w:color w:val="000000"/>
        </w:rPr>
        <w:t xml:space="preserve"> artigo 54:</w:t>
      </w:r>
    </w:p>
    <w:p w14:paraId="6AB0B0EE" w14:textId="77777777" w:rsidR="000768C1" w:rsidRDefault="000768C1" w:rsidP="00076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o inciso XX:</w:t>
      </w:r>
    </w:p>
    <w:p w14:paraId="17807BF2" w14:textId="77777777" w:rsidR="000768C1" w:rsidRDefault="000768C1" w:rsidP="00076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“XX - </w:t>
      </w:r>
      <w:proofErr w:type="gramStart"/>
      <w:r>
        <w:rPr>
          <w:rFonts w:ascii="Helvetica" w:hAnsi="Helvetica" w:cs="Helvetica"/>
          <w:color w:val="000000"/>
        </w:rPr>
        <w:t>querosene</w:t>
      </w:r>
      <w:proofErr w:type="gramEnd"/>
      <w:r>
        <w:rPr>
          <w:rFonts w:ascii="Helvetica" w:hAnsi="Helvetica" w:cs="Helvetica"/>
          <w:color w:val="000000"/>
        </w:rPr>
        <w:t xml:space="preserve"> de aviação destinado a empresas de transporte aéreo regular de passageiros ou de carga, observado o disposto no § 6º.”;</w:t>
      </w:r>
    </w:p>
    <w:p w14:paraId="371FB274" w14:textId="77777777" w:rsidR="000768C1" w:rsidRDefault="000768C1" w:rsidP="00076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o § 5º:</w:t>
      </w:r>
    </w:p>
    <w:p w14:paraId="560DE72D" w14:textId="77777777" w:rsidR="000768C1" w:rsidRDefault="000768C1" w:rsidP="00076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“§ 5º - Na hipótese do inciso XII, a aplicação da alíquota prevista neste artigo no fornecimento de alimentação independe do local onde ocorrerá o seu consumo.”;</w:t>
      </w:r>
    </w:p>
    <w:p w14:paraId="6E6A9DC9" w14:textId="77777777" w:rsidR="000768C1" w:rsidRDefault="000768C1" w:rsidP="00076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o § 6º:</w:t>
      </w:r>
    </w:p>
    <w:p w14:paraId="0B340C34" w14:textId="77777777" w:rsidR="000768C1" w:rsidRDefault="000768C1" w:rsidP="00076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“§ 6º - A alíquota prevista neste artigo aplica-se, na hipótese do inciso XX, somente às operações destinadas a empresas de transporte aéreo regular de passageiros ou de carga que, por meio de operações próprias ou contratos comerciais firmados com terceiros, atendam as condições e prazos para sua implementação estabelecidos em ato do Poder Executivo que especifica, entre outros requisitos, o número mínimo de voos regionais que devem ser operados por essas empresas.”;</w:t>
      </w:r>
    </w:p>
    <w:p w14:paraId="66C4D4D2" w14:textId="77777777" w:rsidR="000768C1" w:rsidRDefault="000768C1" w:rsidP="00076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o § 7º:</w:t>
      </w:r>
    </w:p>
    <w:p w14:paraId="28256364" w14:textId="77777777" w:rsidR="000768C1" w:rsidRDefault="000768C1" w:rsidP="00076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“§ 7º - A alíquota prevista neste artigo, exceto na hipótese do inciso I, fica sujeita a um complemento de 1,3% (um inteiro e três décimos por cento), passando as operações internas indicadas no “caput” a ter uma carga tributária de 13,3% (treze inteiros e três décimos por cento) (Lei 17.293/20, art. 22).”</w:t>
      </w:r>
      <w:r w:rsidR="0085372C" w:rsidRPr="0085372C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="0085372C">
        <w:rPr>
          <w:rFonts w:ascii="Calibri" w:hAnsi="Calibri" w:cs="Calibri"/>
          <w:b/>
          <w:bCs/>
          <w:i/>
          <w:iCs/>
          <w:color w:val="000000"/>
        </w:rPr>
        <w:t>- retificação abaixo -</w:t>
      </w:r>
    </w:p>
    <w:p w14:paraId="04B43FC8" w14:textId="77777777" w:rsidR="009B2929" w:rsidRDefault="009B2929" w:rsidP="009B292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leia-se como segue e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como constou:</w:t>
      </w:r>
    </w:p>
    <w:p w14:paraId="11FF9534" w14:textId="77777777" w:rsidR="009B2929" w:rsidRDefault="009B2929" w:rsidP="009B292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d) o </w:t>
      </w: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7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>:</w:t>
      </w:r>
    </w:p>
    <w:p w14:paraId="3D62CAC5" w14:textId="150BB28D" w:rsidR="000768C1" w:rsidRDefault="009B2929" w:rsidP="009B292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“§</w:t>
      </w:r>
      <w:r>
        <w:rPr>
          <w:rFonts w:ascii="Helvetica" w:hAnsi="Helvetica" w:cs="Helvetica"/>
          <w:color w:val="000000"/>
          <w:sz w:val="20"/>
          <w:szCs w:val="20"/>
        </w:rPr>
        <w:t xml:space="preserve"> 7</w:t>
      </w:r>
      <w:r>
        <w:rPr>
          <w:rFonts w:ascii="Arial" w:hAnsi="Arial" w:cs="Arial"/>
          <w:color w:val="000000"/>
          <w:sz w:val="20"/>
          <w:szCs w:val="20"/>
        </w:rPr>
        <w:t>º</w:t>
      </w:r>
      <w:r>
        <w:rPr>
          <w:rFonts w:ascii="Helvetica" w:hAnsi="Helvetica" w:cs="Helvetica"/>
          <w:color w:val="000000"/>
          <w:sz w:val="20"/>
          <w:szCs w:val="20"/>
        </w:rPr>
        <w:t xml:space="preserve"> - A al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Helvetica" w:hAnsi="Helvetica" w:cs="Helvetica"/>
          <w:color w:val="000000"/>
          <w:sz w:val="20"/>
          <w:szCs w:val="20"/>
        </w:rPr>
        <w:t>quota prevista neste artigo, exceto na hip</w:t>
      </w:r>
      <w:r>
        <w:rPr>
          <w:rFonts w:ascii="Calibri" w:hAnsi="Calibri" w:cs="Calibri"/>
          <w:color w:val="000000"/>
          <w:sz w:val="20"/>
          <w:szCs w:val="20"/>
        </w:rPr>
        <w:t>ó</w:t>
      </w:r>
      <w:r>
        <w:rPr>
          <w:rFonts w:ascii="Helvetica" w:hAnsi="Helvetica" w:cs="Helvetica"/>
          <w:color w:val="000000"/>
          <w:sz w:val="20"/>
          <w:szCs w:val="20"/>
        </w:rPr>
        <w:t>tese do inciso I, fica sujeita a um complemento de 1,3% (um inteiro e tr</w:t>
      </w:r>
      <w:r>
        <w:rPr>
          <w:rFonts w:ascii="Calibri" w:hAnsi="Calibri" w:cs="Calibri"/>
          <w:color w:val="000000"/>
          <w:sz w:val="20"/>
          <w:szCs w:val="20"/>
        </w:rPr>
        <w:t>ê</w:t>
      </w:r>
      <w:r>
        <w:rPr>
          <w:rFonts w:ascii="Helvetica" w:hAnsi="Helvetica" w:cs="Helvetica"/>
          <w:color w:val="000000"/>
          <w:sz w:val="20"/>
          <w:szCs w:val="20"/>
        </w:rPr>
        <w:t>s d</w:t>
      </w:r>
      <w:r>
        <w:rPr>
          <w:rFonts w:ascii="Calibri" w:hAnsi="Calibri" w:cs="Calibri"/>
          <w:color w:val="000000"/>
          <w:sz w:val="20"/>
          <w:szCs w:val="20"/>
        </w:rPr>
        <w:t>é</w:t>
      </w:r>
      <w:r>
        <w:rPr>
          <w:rFonts w:ascii="Helvetica" w:hAnsi="Helvetica" w:cs="Helvetica"/>
          <w:color w:val="000000"/>
          <w:sz w:val="20"/>
          <w:szCs w:val="20"/>
        </w:rPr>
        <w:t>cimos por cento), passando as opera</w:t>
      </w:r>
      <w:r>
        <w:rPr>
          <w:rFonts w:ascii="Calibri" w:hAnsi="Calibri" w:cs="Calibri"/>
          <w:color w:val="000000"/>
          <w:sz w:val="20"/>
          <w:szCs w:val="20"/>
        </w:rPr>
        <w:t>çõ</w:t>
      </w:r>
      <w:r>
        <w:rPr>
          <w:rFonts w:ascii="Helvetica" w:hAnsi="Helvetica" w:cs="Helvetica"/>
          <w:color w:val="000000"/>
          <w:sz w:val="20"/>
          <w:szCs w:val="20"/>
        </w:rPr>
        <w:t xml:space="preserve">es internas indicadas no </w:t>
      </w:r>
      <w:r>
        <w:rPr>
          <w:rFonts w:ascii="Calibri" w:hAnsi="Calibri" w:cs="Calibri"/>
          <w:color w:val="000000"/>
          <w:sz w:val="20"/>
          <w:szCs w:val="20"/>
        </w:rPr>
        <w:t>“</w:t>
      </w:r>
      <w:r>
        <w:rPr>
          <w:rFonts w:ascii="Helvetica" w:hAnsi="Helvetica" w:cs="Helvetica"/>
          <w:color w:val="000000"/>
          <w:sz w:val="20"/>
          <w:szCs w:val="20"/>
        </w:rPr>
        <w:t>caput</w:t>
      </w:r>
      <w:r>
        <w:rPr>
          <w:rFonts w:ascii="Calibri" w:hAnsi="Calibri" w:cs="Calibri"/>
          <w:color w:val="000000"/>
          <w:sz w:val="20"/>
          <w:szCs w:val="20"/>
        </w:rPr>
        <w:t>”</w:t>
      </w:r>
      <w:r>
        <w:rPr>
          <w:rFonts w:ascii="Helvetica" w:hAnsi="Helvetica" w:cs="Helvetica"/>
          <w:color w:val="000000"/>
          <w:sz w:val="20"/>
          <w:szCs w:val="20"/>
        </w:rPr>
        <w:t xml:space="preserve"> a ter uma carga tribut</w:t>
      </w:r>
      <w:r>
        <w:rPr>
          <w:rFonts w:ascii="Calibri" w:hAnsi="Calibri" w:cs="Calibri"/>
          <w:color w:val="000000"/>
          <w:sz w:val="20"/>
          <w:szCs w:val="20"/>
        </w:rPr>
        <w:t>á</w:t>
      </w:r>
      <w:r>
        <w:rPr>
          <w:rFonts w:ascii="Helvetica" w:hAnsi="Helvetica" w:cs="Helvetica"/>
          <w:color w:val="000000"/>
          <w:sz w:val="20"/>
          <w:szCs w:val="20"/>
        </w:rPr>
        <w:t>ria de 13,3% (treze inteiros e tr</w:t>
      </w:r>
      <w:r>
        <w:rPr>
          <w:rFonts w:ascii="Calibri" w:hAnsi="Calibri" w:cs="Calibri"/>
          <w:color w:val="000000"/>
          <w:sz w:val="20"/>
          <w:szCs w:val="20"/>
        </w:rPr>
        <w:t>ê</w:t>
      </w:r>
      <w:r>
        <w:rPr>
          <w:rFonts w:ascii="Helvetica" w:hAnsi="Helvetica" w:cs="Helvetica"/>
          <w:color w:val="000000"/>
          <w:sz w:val="20"/>
          <w:szCs w:val="20"/>
        </w:rPr>
        <w:t>s d</w:t>
      </w:r>
      <w:r>
        <w:rPr>
          <w:rFonts w:ascii="Calibri" w:hAnsi="Calibri" w:cs="Calibri"/>
          <w:color w:val="000000"/>
          <w:sz w:val="20"/>
          <w:szCs w:val="20"/>
        </w:rPr>
        <w:t>é</w:t>
      </w:r>
      <w:r>
        <w:rPr>
          <w:rFonts w:ascii="Helvetica" w:hAnsi="Helvetica" w:cs="Helvetica"/>
          <w:color w:val="000000"/>
          <w:sz w:val="20"/>
          <w:szCs w:val="20"/>
        </w:rPr>
        <w:t>cimos por cento) (Lei 17.293/20, art. 22).</w:t>
      </w:r>
      <w:r>
        <w:rPr>
          <w:rFonts w:ascii="Arial" w:hAnsi="Arial" w:cs="Arial"/>
          <w:color w:val="000000"/>
          <w:sz w:val="20"/>
          <w:szCs w:val="20"/>
        </w:rPr>
        <w:t>”</w:t>
      </w:r>
    </w:p>
    <w:p w14:paraId="1209C06F" w14:textId="77777777" w:rsidR="000768C1" w:rsidRDefault="000768C1" w:rsidP="00076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3º - Este decreto entra em vigor na data de sua publicação, produzindo efeitos a partir de 15 de janeiro de 2021.</w:t>
      </w:r>
    </w:p>
    <w:p w14:paraId="1B282623" w14:textId="77777777" w:rsidR="000768C1" w:rsidRDefault="000768C1" w:rsidP="00076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Parágrafo único - Relativamente ao disposto no inciso I e na alínea “d” do inciso II, ambos do artigo 2º, este decreto produzirá efeitos pelo prazo de 24 (vinte e quatro) meses contados a partir de 15 de janeiro de 2021.</w:t>
      </w:r>
    </w:p>
    <w:p w14:paraId="6E4BCEF3" w14:textId="77777777" w:rsidR="000768C1" w:rsidRDefault="000768C1" w:rsidP="000768C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Palácio dos Bandeirantes, 15 de outubro de 2020</w:t>
      </w:r>
    </w:p>
    <w:p w14:paraId="6D4F2FFE" w14:textId="77777777" w:rsidR="00217F91" w:rsidRDefault="000768C1" w:rsidP="000768C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JOÃO DORIA</w:t>
      </w:r>
    </w:p>
    <w:sectPr w:rsidR="00217F91" w:rsidSect="00F35440">
      <w:pgSz w:w="11906" w:h="16838" w:code="9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D5"/>
    <w:rsid w:val="0007259F"/>
    <w:rsid w:val="000768C1"/>
    <w:rsid w:val="00217F91"/>
    <w:rsid w:val="00242944"/>
    <w:rsid w:val="002B49D5"/>
    <w:rsid w:val="0085372C"/>
    <w:rsid w:val="0098753F"/>
    <w:rsid w:val="009B2929"/>
    <w:rsid w:val="00CA6DBB"/>
    <w:rsid w:val="00D224DE"/>
    <w:rsid w:val="00F3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43B3"/>
  <w15:chartTrackingRefBased/>
  <w15:docId w15:val="{0F9ED05A-4017-4566-9DE2-E06DDAEF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2B49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B49D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686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9</cp:revision>
  <dcterms:created xsi:type="dcterms:W3CDTF">2020-10-16T13:23:00Z</dcterms:created>
  <dcterms:modified xsi:type="dcterms:W3CDTF">2021-08-19T16:35:00Z</dcterms:modified>
</cp:coreProperties>
</file>