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936B" w14:textId="329288BF" w:rsidR="00732575" w:rsidRDefault="00732575" w:rsidP="00732575">
      <w:pPr>
        <w:pStyle w:val="TextosemFormatao"/>
        <w:jc w:val="center"/>
        <w:rPr>
          <w:rFonts w:ascii="Helvetica" w:hAnsi="Helvetica" w:cs="Courier New"/>
          <w:b/>
          <w:bCs/>
          <w:sz w:val="22"/>
          <w:szCs w:val="22"/>
        </w:rPr>
      </w:pPr>
      <w:r w:rsidRPr="00732575">
        <w:rPr>
          <w:rFonts w:ascii="Helvetica" w:hAnsi="Helvetica" w:cs="Courier New"/>
          <w:b/>
          <w:bCs/>
          <w:sz w:val="22"/>
          <w:szCs w:val="22"/>
        </w:rPr>
        <w:t>DECRETO Nº 65.897, DE 30 DE JULHO DE 2021</w:t>
      </w:r>
    </w:p>
    <w:p w14:paraId="3A94C727" w14:textId="77777777" w:rsidR="00732575" w:rsidRPr="00732575" w:rsidRDefault="00732575" w:rsidP="00732575">
      <w:pPr>
        <w:pStyle w:val="TextosemFormatao"/>
        <w:jc w:val="center"/>
        <w:rPr>
          <w:rFonts w:ascii="Helvetica" w:hAnsi="Helvetica" w:cs="Courier New"/>
          <w:b/>
          <w:bCs/>
          <w:sz w:val="22"/>
          <w:szCs w:val="22"/>
        </w:rPr>
      </w:pPr>
    </w:p>
    <w:p w14:paraId="46853AB9" w14:textId="78A8ECBF" w:rsidR="00732575" w:rsidRDefault="00732575" w:rsidP="00732575">
      <w:pPr>
        <w:pStyle w:val="TextosemFormatao"/>
        <w:ind w:left="3686"/>
        <w:jc w:val="both"/>
        <w:rPr>
          <w:rFonts w:ascii="Helvetica" w:hAnsi="Helvetica" w:cs="Courier New"/>
          <w:sz w:val="22"/>
          <w:szCs w:val="22"/>
        </w:rPr>
      </w:pPr>
      <w:r w:rsidRPr="00732575">
        <w:rPr>
          <w:rFonts w:ascii="Helvetica" w:hAnsi="Helvetica" w:cs="Courier New"/>
          <w:sz w:val="22"/>
          <w:szCs w:val="22"/>
        </w:rPr>
        <w:t>Dispõe sobre a medida de quarentena de que trata o Decreto nº 64.881, de 22 de março de 2020, e dá providências complementares</w:t>
      </w:r>
    </w:p>
    <w:p w14:paraId="038F4377" w14:textId="77777777" w:rsidR="00732575" w:rsidRPr="00732575" w:rsidRDefault="00732575" w:rsidP="00732575">
      <w:pPr>
        <w:pStyle w:val="TextosemFormatao"/>
        <w:rPr>
          <w:rFonts w:ascii="Helvetica" w:hAnsi="Helvetica" w:cs="Courier New"/>
          <w:sz w:val="22"/>
          <w:szCs w:val="22"/>
        </w:rPr>
      </w:pPr>
    </w:p>
    <w:p w14:paraId="002AB6A9" w14:textId="4995415C"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JOÃO DORIA, GOVERNADOR DO ESTADO DE SÃO PAULO, no uso de suas atribuições legais,</w:t>
      </w:r>
    </w:p>
    <w:p w14:paraId="01AE10A5"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Considerando a recomendação do Centro de Contingência do Coronavírus, instituído pela Resolução nº 27, de 13 de março de 2020, da Secretaria da Saúde (Anexo);</w:t>
      </w:r>
    </w:p>
    <w:p w14:paraId="0DC1339B"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Considerando a necessidade de conter a disseminação da COVID-19 e garantir o adequado funcionamento dos serviços de saúde;</w:t>
      </w:r>
    </w:p>
    <w:p w14:paraId="47E582DC"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Considerando a evolução das ações de enfrentamento à pandemia da COVID-19 no Estado,</w:t>
      </w:r>
    </w:p>
    <w:p w14:paraId="4ADA0966"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Decreta:</w:t>
      </w:r>
    </w:p>
    <w:p w14:paraId="29A77D8D"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Artigo 1º - A medida de quarentena instituída pelo Decreto nº 64.881, de 22 de março de 2020, vigorará até 16 de agosto de 2021.</w:t>
      </w:r>
    </w:p>
    <w:p w14:paraId="1988487E"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 1º - Nos estabelecimentos comerciais e prestadores de serviços e atividades não essenciais localizados no Estado, é obrigatória, enquanto vigente a medida a que alude o "caput" deste artigo, a observância do seguinte:</w:t>
      </w:r>
    </w:p>
    <w:p w14:paraId="1C51BB14"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1. ocupação de espaço limitada a 80% da respectiva capacidade;</w:t>
      </w:r>
    </w:p>
    <w:p w14:paraId="0682B5AD"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2. atendimento presencial ao público das 6 horas à meia-noite.</w:t>
      </w:r>
    </w:p>
    <w:p w14:paraId="5F80654B"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 2º - Sem prejuízo do disposto no § 1º deste artigo, na Região Metropolitana de São Paulo, é recomendado o escalonamento de horários de abertura e de troca de turnos em estabelecimentos comerciais e prestadores de serviços, de modo a evitar o deslocamento simultâneo de colaboradores nos meios de transporte público coletivo de passageiros, observando, além das normas locais aprovadas pelos respectivos municípios, os seguintes horários:</w:t>
      </w:r>
    </w:p>
    <w:p w14:paraId="5BBAD7F8"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1. entre 5 horas e 7 horas, para o setor industrial;</w:t>
      </w:r>
    </w:p>
    <w:p w14:paraId="29FC2A40"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2. entre 7 horas e 9 horas, para o setor de serviços;</w:t>
      </w:r>
    </w:p>
    <w:p w14:paraId="49ED94F8"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3. entre 9 horas e 11 horas, para o setor de comércio.</w:t>
      </w:r>
    </w:p>
    <w:p w14:paraId="4F8F41EE" w14:textId="45E120A1" w:rsidR="004A5039" w:rsidRPr="004A5039" w:rsidRDefault="004A5039" w:rsidP="00732575">
      <w:pPr>
        <w:pStyle w:val="TextosemFormatao"/>
        <w:spacing w:before="60" w:after="60"/>
        <w:ind w:firstLine="1418"/>
        <w:jc w:val="both"/>
        <w:rPr>
          <w:rFonts w:ascii="Helvetica" w:hAnsi="Helvetica" w:cs="Courier New"/>
          <w:sz w:val="22"/>
          <w:szCs w:val="22"/>
        </w:rPr>
      </w:pPr>
      <w:r w:rsidRPr="004A5039">
        <w:rPr>
          <w:rFonts w:ascii="Helvetica" w:hAnsi="Helvetica" w:cs="Helvetica"/>
          <w:b/>
          <w:bCs/>
          <w:i/>
          <w:iCs/>
          <w:color w:val="000000"/>
          <w:sz w:val="22"/>
          <w:szCs w:val="22"/>
        </w:rPr>
        <w:t>(</w:t>
      </w:r>
      <w:r w:rsidRPr="004A5039">
        <w:rPr>
          <w:rFonts w:ascii="Helvetica" w:hAnsi="Helvetica" w:cs="Helvetica"/>
          <w:b/>
          <w:bCs/>
          <w:i/>
          <w:iCs/>
          <w:color w:val="800080"/>
          <w:sz w:val="22"/>
          <w:szCs w:val="22"/>
        </w:rPr>
        <w:t>*</w:t>
      </w:r>
      <w:r w:rsidRPr="004A5039">
        <w:rPr>
          <w:rFonts w:ascii="Helvetica" w:hAnsi="Helvetica" w:cs="Helvetica"/>
          <w:b/>
          <w:bCs/>
          <w:i/>
          <w:iCs/>
          <w:color w:val="000000"/>
          <w:sz w:val="22"/>
          <w:szCs w:val="22"/>
        </w:rPr>
        <w:t>) Revogado pelo Decreto n</w:t>
      </w:r>
      <w:r w:rsidRPr="004A5039">
        <w:rPr>
          <w:rFonts w:ascii="Calibri" w:hAnsi="Calibri" w:cs="Calibri"/>
          <w:b/>
          <w:bCs/>
          <w:i/>
          <w:iCs/>
          <w:color w:val="000000"/>
          <w:sz w:val="22"/>
          <w:szCs w:val="22"/>
        </w:rPr>
        <w:t>º</w:t>
      </w:r>
      <w:r w:rsidRPr="004A5039">
        <w:rPr>
          <w:rFonts w:ascii="Helvetica" w:hAnsi="Helvetica" w:cs="Helvetica"/>
          <w:b/>
          <w:bCs/>
          <w:i/>
          <w:iCs/>
          <w:color w:val="000000"/>
          <w:sz w:val="22"/>
          <w:szCs w:val="22"/>
        </w:rPr>
        <w:t xml:space="preserve"> 66.179, de 3 de novembro de 2021</w:t>
      </w:r>
    </w:p>
    <w:p w14:paraId="3A78BF04" w14:textId="0242965E"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2º - Nos espaços de acesso ao público localizados no território estadual, deverão ser observados:</w:t>
      </w:r>
    </w:p>
    <w:p w14:paraId="4544DCE3" w14:textId="77777777" w:rsidR="00732575" w:rsidRPr="004E1B2C" w:rsidRDefault="00732575" w:rsidP="00732575">
      <w:pPr>
        <w:pStyle w:val="TextosemFormatao"/>
        <w:spacing w:before="60" w:after="60"/>
        <w:ind w:firstLine="1418"/>
        <w:jc w:val="both"/>
        <w:rPr>
          <w:rFonts w:ascii="Helvetica" w:hAnsi="Helvetica" w:cs="Courier New"/>
          <w:strike/>
          <w:sz w:val="22"/>
          <w:szCs w:val="22"/>
        </w:rPr>
      </w:pPr>
      <w:r w:rsidRPr="004E1B2C">
        <w:rPr>
          <w:rFonts w:ascii="Helvetica" w:hAnsi="Helvetica" w:cs="Courier New"/>
          <w:strike/>
          <w:sz w:val="22"/>
          <w:szCs w:val="22"/>
        </w:rPr>
        <w:t>I - o uso de máscaras de proteção facial;</w:t>
      </w:r>
    </w:p>
    <w:p w14:paraId="3D22B232" w14:textId="60068A9B" w:rsidR="004E1B2C" w:rsidRPr="00B8252B" w:rsidRDefault="004E1B2C" w:rsidP="004E1B2C">
      <w:pPr>
        <w:autoSpaceDE w:val="0"/>
        <w:autoSpaceDN w:val="0"/>
        <w:adjustRightInd w:val="0"/>
        <w:spacing w:before="120" w:after="120" w:line="240" w:lineRule="auto"/>
        <w:ind w:firstLine="1418"/>
        <w:jc w:val="both"/>
        <w:rPr>
          <w:rFonts w:cs="Helv"/>
          <w:b/>
          <w:bCs/>
          <w:i/>
          <w:iCs/>
          <w:strike/>
          <w:color w:val="000000"/>
        </w:rPr>
      </w:pPr>
      <w:r w:rsidRPr="00B8252B">
        <w:rPr>
          <w:rFonts w:cs="Helvetica"/>
          <w:b/>
          <w:bCs/>
          <w:i/>
          <w:iCs/>
          <w:strike/>
          <w:color w:val="000000"/>
        </w:rPr>
        <w:t>(</w:t>
      </w:r>
      <w:r w:rsidRPr="00B8252B">
        <w:rPr>
          <w:rFonts w:cs="Helvetica"/>
          <w:b/>
          <w:bCs/>
          <w:i/>
          <w:iCs/>
          <w:strike/>
          <w:color w:val="800080"/>
        </w:rPr>
        <w:t>*</w:t>
      </w:r>
      <w:r w:rsidRPr="00B8252B">
        <w:rPr>
          <w:rFonts w:cs="Helvetica"/>
          <w:b/>
          <w:bCs/>
          <w:i/>
          <w:iCs/>
          <w:strike/>
          <w:color w:val="000000"/>
        </w:rPr>
        <w:t>) Nova reda</w:t>
      </w:r>
      <w:r w:rsidRPr="00B8252B">
        <w:rPr>
          <w:rFonts w:ascii="Calibri" w:hAnsi="Calibri" w:cs="Calibri"/>
          <w:b/>
          <w:bCs/>
          <w:i/>
          <w:iCs/>
          <w:strike/>
          <w:color w:val="000000"/>
        </w:rPr>
        <w:t>çã</w:t>
      </w:r>
      <w:r w:rsidRPr="00B8252B">
        <w:rPr>
          <w:rFonts w:cs="Helvetica"/>
          <w:b/>
          <w:bCs/>
          <w:i/>
          <w:iCs/>
          <w:strike/>
          <w:color w:val="000000"/>
        </w:rPr>
        <w:t>o dada pelo Decreto n</w:t>
      </w:r>
      <w:r w:rsidRPr="00B8252B">
        <w:rPr>
          <w:rFonts w:ascii="Calibri" w:hAnsi="Calibri" w:cs="Calibri"/>
          <w:b/>
          <w:bCs/>
          <w:i/>
          <w:iCs/>
          <w:strike/>
          <w:color w:val="000000"/>
        </w:rPr>
        <w:t>º</w:t>
      </w:r>
      <w:r w:rsidRPr="00B8252B">
        <w:rPr>
          <w:rFonts w:cs="Helvetica"/>
          <w:b/>
          <w:bCs/>
          <w:i/>
          <w:iCs/>
          <w:strike/>
          <w:color w:val="000000"/>
        </w:rPr>
        <w:t xml:space="preserve"> 66.554, de 9 de mar</w:t>
      </w:r>
      <w:r w:rsidRPr="00B8252B">
        <w:rPr>
          <w:rFonts w:ascii="Calibri" w:hAnsi="Calibri" w:cs="Calibri"/>
          <w:b/>
          <w:bCs/>
          <w:i/>
          <w:iCs/>
          <w:strike/>
          <w:color w:val="000000"/>
        </w:rPr>
        <w:t>ç</w:t>
      </w:r>
      <w:r w:rsidRPr="00B8252B">
        <w:rPr>
          <w:rFonts w:cs="Helvetica"/>
          <w:b/>
          <w:bCs/>
          <w:i/>
          <w:iCs/>
          <w:strike/>
          <w:color w:val="000000"/>
        </w:rPr>
        <w:t>o de 2022 (art.1</w:t>
      </w:r>
      <w:r w:rsidRPr="00B8252B">
        <w:rPr>
          <w:rFonts w:ascii="Calibri" w:hAnsi="Calibri" w:cs="Calibri"/>
          <w:b/>
          <w:bCs/>
          <w:i/>
          <w:iCs/>
          <w:strike/>
          <w:color w:val="000000"/>
        </w:rPr>
        <w:t>º</w:t>
      </w:r>
      <w:r w:rsidRPr="00B8252B">
        <w:rPr>
          <w:rFonts w:cs="Helvetica"/>
          <w:b/>
          <w:bCs/>
          <w:i/>
          <w:iCs/>
          <w:strike/>
          <w:color w:val="000000"/>
        </w:rPr>
        <w:t>)</w:t>
      </w:r>
      <w:r w:rsidRPr="00B8252B">
        <w:rPr>
          <w:rFonts w:cs="Helv"/>
          <w:b/>
          <w:bCs/>
          <w:i/>
          <w:iCs/>
          <w:strike/>
          <w:color w:val="000000"/>
        </w:rPr>
        <w:t>:</w:t>
      </w:r>
    </w:p>
    <w:p w14:paraId="7EEE2503" w14:textId="771AF3C4" w:rsidR="004E1B2C" w:rsidRPr="00B8252B" w:rsidRDefault="004E1B2C" w:rsidP="004E1B2C">
      <w:pPr>
        <w:pStyle w:val="TextosemFormatao"/>
        <w:spacing w:before="60" w:after="60"/>
        <w:ind w:firstLine="1418"/>
        <w:jc w:val="both"/>
        <w:rPr>
          <w:rFonts w:ascii="Helvetica" w:hAnsi="Helvetica" w:cs="Courier New"/>
          <w:strike/>
          <w:sz w:val="22"/>
          <w:szCs w:val="22"/>
        </w:rPr>
      </w:pPr>
      <w:r w:rsidRPr="00B8252B">
        <w:rPr>
          <w:rFonts w:ascii="Helvetica" w:hAnsi="Helvetica" w:cs="Helvetica"/>
          <w:strike/>
          <w:color w:val="0000FF"/>
          <w:sz w:val="22"/>
          <w:szCs w:val="22"/>
        </w:rPr>
        <w:t>I - o uso de m</w:t>
      </w:r>
      <w:r w:rsidRPr="00B8252B">
        <w:rPr>
          <w:rFonts w:ascii="Calibri" w:hAnsi="Calibri" w:cs="Calibri"/>
          <w:strike/>
          <w:color w:val="0000FF"/>
          <w:sz w:val="22"/>
          <w:szCs w:val="22"/>
        </w:rPr>
        <w:t>á</w:t>
      </w:r>
      <w:r w:rsidRPr="00B8252B">
        <w:rPr>
          <w:rFonts w:ascii="Helvetica" w:hAnsi="Helvetica" w:cs="Helvetica"/>
          <w:strike/>
          <w:color w:val="0000FF"/>
          <w:sz w:val="22"/>
          <w:szCs w:val="22"/>
        </w:rPr>
        <w:t>scaras de prote</w:t>
      </w:r>
      <w:r w:rsidRPr="00B8252B">
        <w:rPr>
          <w:rFonts w:ascii="Calibri" w:hAnsi="Calibri" w:cs="Calibri"/>
          <w:strike/>
          <w:color w:val="0000FF"/>
          <w:sz w:val="22"/>
          <w:szCs w:val="22"/>
        </w:rPr>
        <w:t>çã</w:t>
      </w:r>
      <w:r w:rsidRPr="00B8252B">
        <w:rPr>
          <w:rFonts w:ascii="Helvetica" w:hAnsi="Helvetica" w:cs="Helvetica"/>
          <w:strike/>
          <w:color w:val="0000FF"/>
          <w:sz w:val="22"/>
          <w:szCs w:val="22"/>
        </w:rPr>
        <w:t>o facial, em ambientes fechados; (NR)</w:t>
      </w:r>
    </w:p>
    <w:p w14:paraId="6DFAC728" w14:textId="77777777" w:rsidR="003E5554" w:rsidRPr="00172B56" w:rsidRDefault="003E5554" w:rsidP="003E5554">
      <w:pPr>
        <w:autoSpaceDE w:val="0"/>
        <w:autoSpaceDN w:val="0"/>
        <w:adjustRightInd w:val="0"/>
        <w:spacing w:before="120" w:after="120" w:line="240" w:lineRule="auto"/>
        <w:ind w:firstLine="1418"/>
        <w:jc w:val="both"/>
        <w:rPr>
          <w:rFonts w:ascii="Helv" w:hAnsi="Helv" w:cs="Helv"/>
          <w:i/>
          <w:iCs/>
          <w:color w:val="009900"/>
          <w:sz w:val="20"/>
          <w:szCs w:val="20"/>
        </w:rPr>
      </w:pPr>
      <w:r w:rsidRPr="00172B56">
        <w:rPr>
          <w:rFonts w:cs="Helvetica"/>
          <w:i/>
          <w:iCs/>
          <w:color w:val="009900"/>
        </w:rPr>
        <w:t>(*) Reda</w:t>
      </w:r>
      <w:r w:rsidRPr="00172B56">
        <w:rPr>
          <w:rFonts w:ascii="Calibri" w:hAnsi="Calibri" w:cs="Calibri"/>
          <w:i/>
          <w:iCs/>
          <w:color w:val="009900"/>
        </w:rPr>
        <w:t>çã</w:t>
      </w:r>
      <w:r w:rsidRPr="00172B56">
        <w:rPr>
          <w:rFonts w:cs="Helvetica"/>
          <w:i/>
          <w:iCs/>
          <w:color w:val="009900"/>
        </w:rPr>
        <w:t>o restabelecida pelo Decreto n</w:t>
      </w:r>
      <w:r w:rsidRPr="00172B56">
        <w:rPr>
          <w:rFonts w:ascii="Calibri" w:hAnsi="Calibri" w:cs="Calibri"/>
          <w:i/>
          <w:iCs/>
          <w:color w:val="009900"/>
        </w:rPr>
        <w:t>º</w:t>
      </w:r>
      <w:r w:rsidRPr="00172B56">
        <w:rPr>
          <w:rFonts w:cs="Helvetica"/>
          <w:i/>
          <w:iCs/>
          <w:color w:val="009900"/>
        </w:rPr>
        <w:t xml:space="preserve"> 67.299, de 24 de novembro de 2022 (art.1</w:t>
      </w:r>
      <w:r w:rsidRPr="00172B56">
        <w:rPr>
          <w:rFonts w:ascii="Calibri" w:hAnsi="Calibri" w:cs="Calibri"/>
          <w:i/>
          <w:iCs/>
          <w:color w:val="009900"/>
        </w:rPr>
        <w:t>º</w:t>
      </w:r>
      <w:r w:rsidRPr="00172B56">
        <w:rPr>
          <w:rFonts w:cs="Helvetica"/>
          <w:i/>
          <w:iCs/>
          <w:color w:val="009900"/>
        </w:rPr>
        <w:t>)</w:t>
      </w:r>
      <w:r w:rsidRPr="00172B56">
        <w:rPr>
          <w:rFonts w:ascii="Helv" w:hAnsi="Helv" w:cs="Helv"/>
          <w:i/>
          <w:iCs/>
          <w:color w:val="009900"/>
          <w:sz w:val="20"/>
          <w:szCs w:val="20"/>
        </w:rPr>
        <w:t>:</w:t>
      </w:r>
    </w:p>
    <w:p w14:paraId="175A18E5" w14:textId="7CC51C09" w:rsidR="00B8252B" w:rsidRPr="00172B56" w:rsidRDefault="00B8252B" w:rsidP="00B8252B">
      <w:pPr>
        <w:autoSpaceDE w:val="0"/>
        <w:autoSpaceDN w:val="0"/>
        <w:adjustRightInd w:val="0"/>
        <w:spacing w:before="120" w:after="120" w:line="240" w:lineRule="auto"/>
        <w:ind w:firstLine="1418"/>
        <w:jc w:val="both"/>
        <w:rPr>
          <w:rFonts w:cs="Helvetica"/>
          <w:color w:val="009900"/>
          <w:sz w:val="20"/>
          <w:szCs w:val="20"/>
        </w:rPr>
      </w:pPr>
      <w:r w:rsidRPr="00172B56">
        <w:rPr>
          <w:rFonts w:cs="Helvetica"/>
          <w:i/>
          <w:iCs/>
          <w:color w:val="009900"/>
        </w:rPr>
        <w:t>(*) Nova reda</w:t>
      </w:r>
      <w:r w:rsidRPr="00172B56">
        <w:rPr>
          <w:rFonts w:ascii="Calibri" w:hAnsi="Calibri" w:cs="Calibri"/>
          <w:i/>
          <w:iCs/>
          <w:color w:val="009900"/>
        </w:rPr>
        <w:t>çã</w:t>
      </w:r>
      <w:r w:rsidRPr="00172B56">
        <w:rPr>
          <w:rFonts w:cs="Helvetica"/>
          <w:i/>
          <w:iCs/>
          <w:color w:val="009900"/>
        </w:rPr>
        <w:t>o dada pelo Decreto n</w:t>
      </w:r>
      <w:r w:rsidRPr="00172B56">
        <w:rPr>
          <w:rFonts w:ascii="Calibri" w:hAnsi="Calibri" w:cs="Calibri"/>
          <w:i/>
          <w:iCs/>
          <w:color w:val="009900"/>
        </w:rPr>
        <w:t>º</w:t>
      </w:r>
      <w:r w:rsidRPr="00172B56">
        <w:rPr>
          <w:rFonts w:cs="Helvetica"/>
          <w:i/>
          <w:iCs/>
          <w:color w:val="009900"/>
        </w:rPr>
        <w:t xml:space="preserve"> 66.575, de 17 de mar</w:t>
      </w:r>
      <w:r w:rsidRPr="00172B56">
        <w:rPr>
          <w:rFonts w:ascii="Calibri" w:hAnsi="Calibri" w:cs="Calibri"/>
          <w:i/>
          <w:iCs/>
          <w:color w:val="009900"/>
        </w:rPr>
        <w:t>ç</w:t>
      </w:r>
      <w:r w:rsidRPr="00172B56">
        <w:rPr>
          <w:rFonts w:cs="Helvetica"/>
          <w:i/>
          <w:iCs/>
          <w:color w:val="009900"/>
        </w:rPr>
        <w:t>o de 2022 (art.1</w:t>
      </w:r>
      <w:r w:rsidRPr="00172B56">
        <w:rPr>
          <w:rFonts w:ascii="Calibri" w:hAnsi="Calibri" w:cs="Calibri"/>
          <w:i/>
          <w:iCs/>
          <w:color w:val="009900"/>
        </w:rPr>
        <w:t>º</w:t>
      </w:r>
      <w:r w:rsidRPr="00172B56">
        <w:rPr>
          <w:rFonts w:cs="Helvetica"/>
          <w:i/>
          <w:iCs/>
          <w:color w:val="009900"/>
        </w:rPr>
        <w:t xml:space="preserve">) </w:t>
      </w:r>
      <w:r w:rsidRPr="00172B56">
        <w:rPr>
          <w:rFonts w:cs="Helvetica"/>
          <w:color w:val="009900"/>
          <w:sz w:val="20"/>
          <w:szCs w:val="20"/>
        </w:rPr>
        <w:t>:</w:t>
      </w:r>
    </w:p>
    <w:p w14:paraId="7679C86E" w14:textId="77777777" w:rsidR="00B8252B" w:rsidRPr="00172B56" w:rsidRDefault="00B8252B" w:rsidP="00B8252B">
      <w:pPr>
        <w:autoSpaceDE w:val="0"/>
        <w:autoSpaceDN w:val="0"/>
        <w:adjustRightInd w:val="0"/>
        <w:spacing w:before="120" w:after="120" w:line="240" w:lineRule="auto"/>
        <w:ind w:firstLine="1418"/>
        <w:jc w:val="both"/>
        <w:rPr>
          <w:rFonts w:cs="Helvetica"/>
          <w:color w:val="009900"/>
        </w:rPr>
      </w:pPr>
      <w:r w:rsidRPr="00172B56">
        <w:rPr>
          <w:rFonts w:cs="Helvetica"/>
          <w:color w:val="009900"/>
        </w:rPr>
        <w:t>I - o uso de m</w:t>
      </w:r>
      <w:r w:rsidRPr="00172B56">
        <w:rPr>
          <w:rFonts w:ascii="Calibri" w:hAnsi="Calibri" w:cs="Calibri"/>
          <w:color w:val="009900"/>
        </w:rPr>
        <w:t>á</w:t>
      </w:r>
      <w:r w:rsidRPr="00172B56">
        <w:rPr>
          <w:rFonts w:cs="Helvetica"/>
          <w:color w:val="009900"/>
        </w:rPr>
        <w:t>scaras de prote</w:t>
      </w:r>
      <w:r w:rsidRPr="00172B56">
        <w:rPr>
          <w:rFonts w:ascii="Calibri" w:hAnsi="Calibri" w:cs="Calibri"/>
          <w:color w:val="009900"/>
        </w:rPr>
        <w:t>çã</w:t>
      </w:r>
      <w:r w:rsidRPr="00172B56">
        <w:rPr>
          <w:rFonts w:cs="Helvetica"/>
          <w:color w:val="009900"/>
        </w:rPr>
        <w:t xml:space="preserve">o facial em: </w:t>
      </w:r>
    </w:p>
    <w:p w14:paraId="390B097D" w14:textId="77777777" w:rsidR="00B8252B" w:rsidRPr="00172B56" w:rsidRDefault="00B8252B" w:rsidP="00B8252B">
      <w:pPr>
        <w:autoSpaceDE w:val="0"/>
        <w:autoSpaceDN w:val="0"/>
        <w:adjustRightInd w:val="0"/>
        <w:spacing w:before="120" w:after="120" w:line="240" w:lineRule="auto"/>
        <w:ind w:firstLine="1418"/>
        <w:jc w:val="both"/>
        <w:rPr>
          <w:rFonts w:cs="Helvetica"/>
          <w:color w:val="009900"/>
        </w:rPr>
      </w:pPr>
      <w:r w:rsidRPr="00172B56">
        <w:rPr>
          <w:rFonts w:cs="Helvetica"/>
          <w:color w:val="009900"/>
        </w:rPr>
        <w:t xml:space="preserve">a) locais destinados </w:t>
      </w:r>
      <w:r w:rsidRPr="00172B56">
        <w:rPr>
          <w:rFonts w:ascii="Calibri" w:hAnsi="Calibri" w:cs="Calibri"/>
          <w:color w:val="009900"/>
        </w:rPr>
        <w:t>à</w:t>
      </w:r>
      <w:r w:rsidRPr="00172B56">
        <w:rPr>
          <w:rFonts w:cs="Helvetica"/>
          <w:color w:val="009900"/>
        </w:rPr>
        <w:t xml:space="preserve"> presta</w:t>
      </w:r>
      <w:r w:rsidRPr="00172B56">
        <w:rPr>
          <w:rFonts w:ascii="Calibri" w:hAnsi="Calibri" w:cs="Calibri"/>
          <w:color w:val="009900"/>
        </w:rPr>
        <w:t>çã</w:t>
      </w:r>
      <w:r w:rsidRPr="00172B56">
        <w:rPr>
          <w:rFonts w:cs="Helvetica"/>
          <w:color w:val="009900"/>
        </w:rPr>
        <w:t>o de servi</w:t>
      </w:r>
      <w:r w:rsidRPr="00172B56">
        <w:rPr>
          <w:rFonts w:ascii="Calibri" w:hAnsi="Calibri" w:cs="Calibri"/>
          <w:color w:val="009900"/>
        </w:rPr>
        <w:t>ç</w:t>
      </w:r>
      <w:r w:rsidRPr="00172B56">
        <w:rPr>
          <w:rFonts w:cs="Helvetica"/>
          <w:color w:val="009900"/>
        </w:rPr>
        <w:t>os de sa</w:t>
      </w:r>
      <w:r w:rsidRPr="00172B56">
        <w:rPr>
          <w:rFonts w:ascii="Calibri" w:hAnsi="Calibri" w:cs="Calibri"/>
          <w:color w:val="009900"/>
        </w:rPr>
        <w:t>ú</w:t>
      </w:r>
      <w:r w:rsidRPr="00172B56">
        <w:rPr>
          <w:rFonts w:cs="Helvetica"/>
          <w:color w:val="009900"/>
        </w:rPr>
        <w:t>de;</w:t>
      </w:r>
    </w:p>
    <w:p w14:paraId="10B58FAC" w14:textId="7777DF0B" w:rsidR="00B8252B" w:rsidRPr="00172B56" w:rsidRDefault="00B8252B" w:rsidP="00B8252B">
      <w:pPr>
        <w:pStyle w:val="TextosemFormatao"/>
        <w:spacing w:before="60" w:after="60"/>
        <w:ind w:firstLine="1418"/>
        <w:jc w:val="both"/>
        <w:rPr>
          <w:rFonts w:ascii="Helvetica" w:hAnsi="Helvetica" w:cs="Helvetica"/>
          <w:color w:val="009900"/>
          <w:sz w:val="22"/>
          <w:szCs w:val="22"/>
        </w:rPr>
      </w:pPr>
      <w:r w:rsidRPr="00172B56">
        <w:rPr>
          <w:rFonts w:ascii="Helvetica" w:hAnsi="Helvetica" w:cs="Helvetica"/>
          <w:color w:val="009900"/>
        </w:rPr>
        <w:lastRenderedPageBreak/>
        <w:t>b) meios de transporte coletivo de passageiros e respectivos locais de acesso, embarque e desembarque. (NR)</w:t>
      </w:r>
    </w:p>
    <w:p w14:paraId="33B5AEB1" w14:textId="5BFB8B0D" w:rsidR="00172B56" w:rsidRDefault="00172B56" w:rsidP="00FE2599">
      <w:pPr>
        <w:autoSpaceDE w:val="0"/>
        <w:autoSpaceDN w:val="0"/>
        <w:adjustRightInd w:val="0"/>
        <w:spacing w:before="120" w:after="120" w:line="240" w:lineRule="auto"/>
        <w:ind w:firstLine="1418"/>
        <w:jc w:val="both"/>
        <w:rPr>
          <w:rFonts w:cs="Helvetica"/>
          <w:b/>
          <w:bCs/>
          <w:i/>
          <w:iCs/>
          <w:color w:val="009900"/>
        </w:rPr>
      </w:pPr>
      <w:r>
        <w:rPr>
          <w:rFonts w:cs="Helvetica"/>
          <w:b/>
          <w:bCs/>
          <w:i/>
          <w:iCs/>
          <w:color w:val="000000"/>
        </w:rPr>
        <w:t>(</w:t>
      </w:r>
      <w:r>
        <w:rPr>
          <w:rFonts w:cs="Helvetica"/>
          <w:b/>
          <w:bCs/>
          <w:i/>
          <w:iCs/>
          <w:color w:val="800080"/>
        </w:rPr>
        <w:t>*</w:t>
      </w:r>
      <w:r>
        <w:rPr>
          <w:rFonts w:cs="Helvetica"/>
          <w:b/>
          <w:bCs/>
          <w:i/>
          <w:iCs/>
          <w:color w:val="000000"/>
        </w:rPr>
        <w:t>) Revogado pelo Decreto n</w:t>
      </w:r>
      <w:r>
        <w:rPr>
          <w:rFonts w:ascii="Calibri" w:hAnsi="Calibri" w:cs="Calibri"/>
          <w:b/>
          <w:bCs/>
          <w:i/>
          <w:iCs/>
          <w:color w:val="000000"/>
        </w:rPr>
        <w:t>º</w:t>
      </w:r>
      <w:r>
        <w:rPr>
          <w:rFonts w:cs="Helvetica"/>
          <w:b/>
          <w:bCs/>
          <w:i/>
          <w:iCs/>
          <w:color w:val="000000"/>
        </w:rPr>
        <w:t xml:space="preserve"> 67.529, de 03 de mar</w:t>
      </w:r>
      <w:r>
        <w:rPr>
          <w:rFonts w:ascii="Calibri" w:hAnsi="Calibri" w:cs="Calibri"/>
          <w:b/>
          <w:bCs/>
          <w:i/>
          <w:iCs/>
          <w:color w:val="000000"/>
        </w:rPr>
        <w:t>ç</w:t>
      </w:r>
      <w:r>
        <w:rPr>
          <w:rFonts w:cs="Helvetica"/>
          <w:b/>
          <w:bCs/>
          <w:i/>
          <w:iCs/>
          <w:color w:val="000000"/>
        </w:rPr>
        <w:t>o de 2023</w:t>
      </w:r>
    </w:p>
    <w:p w14:paraId="42330594" w14:textId="7936505B" w:rsidR="00FE2599" w:rsidRPr="003E5554" w:rsidRDefault="00FE2599" w:rsidP="00FE2599">
      <w:pPr>
        <w:autoSpaceDE w:val="0"/>
        <w:autoSpaceDN w:val="0"/>
        <w:adjustRightInd w:val="0"/>
        <w:spacing w:before="120" w:after="120" w:line="240" w:lineRule="auto"/>
        <w:ind w:firstLine="1418"/>
        <w:jc w:val="both"/>
        <w:rPr>
          <w:rFonts w:ascii="Helv" w:hAnsi="Helv" w:cs="Helv"/>
          <w:b/>
          <w:bCs/>
          <w:i/>
          <w:iCs/>
          <w:color w:val="009900"/>
          <w:sz w:val="20"/>
          <w:szCs w:val="20"/>
        </w:rPr>
      </w:pPr>
      <w:r w:rsidRPr="003E5554">
        <w:rPr>
          <w:rFonts w:cs="Helvetica"/>
          <w:b/>
          <w:bCs/>
          <w:i/>
          <w:iCs/>
          <w:color w:val="009900"/>
        </w:rPr>
        <w:t>(*) Nova reda</w:t>
      </w:r>
      <w:r w:rsidRPr="003E5554">
        <w:rPr>
          <w:rFonts w:ascii="Calibri" w:hAnsi="Calibri" w:cs="Calibri"/>
          <w:b/>
          <w:bCs/>
          <w:i/>
          <w:iCs/>
          <w:color w:val="009900"/>
        </w:rPr>
        <w:t>çã</w:t>
      </w:r>
      <w:r w:rsidRPr="003E5554">
        <w:rPr>
          <w:rFonts w:cs="Helvetica"/>
          <w:b/>
          <w:bCs/>
          <w:i/>
          <w:iCs/>
          <w:color w:val="009900"/>
        </w:rPr>
        <w:t>o dada pelo Decreto n</w:t>
      </w:r>
      <w:r w:rsidRPr="003E5554">
        <w:rPr>
          <w:rFonts w:ascii="Calibri" w:hAnsi="Calibri" w:cs="Calibri"/>
          <w:b/>
          <w:bCs/>
          <w:i/>
          <w:iCs/>
          <w:color w:val="009900"/>
        </w:rPr>
        <w:t>º</w:t>
      </w:r>
      <w:r w:rsidRPr="003E5554">
        <w:rPr>
          <w:rFonts w:cs="Helvetica"/>
          <w:b/>
          <w:bCs/>
          <w:i/>
          <w:iCs/>
          <w:color w:val="009900"/>
        </w:rPr>
        <w:t xml:space="preserve"> 67.096, de 8 de setembro de 2022 (art.1</w:t>
      </w:r>
      <w:r w:rsidRPr="003E5554">
        <w:rPr>
          <w:rFonts w:ascii="Calibri" w:hAnsi="Calibri" w:cs="Calibri"/>
          <w:b/>
          <w:bCs/>
          <w:i/>
          <w:iCs/>
          <w:color w:val="009900"/>
        </w:rPr>
        <w:t>º</w:t>
      </w:r>
      <w:r w:rsidRPr="003E5554">
        <w:rPr>
          <w:rFonts w:cs="Helvetica"/>
          <w:b/>
          <w:bCs/>
          <w:i/>
          <w:iCs/>
          <w:color w:val="009900"/>
        </w:rPr>
        <w:t>)</w:t>
      </w:r>
      <w:r w:rsidRPr="003E5554">
        <w:rPr>
          <w:rFonts w:ascii="Helv" w:hAnsi="Helv" w:cs="Helv"/>
          <w:b/>
          <w:bCs/>
          <w:i/>
          <w:iCs/>
          <w:color w:val="009900"/>
          <w:sz w:val="20"/>
          <w:szCs w:val="20"/>
        </w:rPr>
        <w:t>:</w:t>
      </w:r>
    </w:p>
    <w:p w14:paraId="49ECD074" w14:textId="3A69C7BF" w:rsidR="00FE2599" w:rsidRPr="003E5554" w:rsidRDefault="00FE2599" w:rsidP="00FE2599">
      <w:pPr>
        <w:pStyle w:val="TextosemFormatao"/>
        <w:spacing w:before="60" w:after="60"/>
        <w:ind w:firstLine="1418"/>
        <w:jc w:val="both"/>
        <w:rPr>
          <w:rFonts w:ascii="Helvetica" w:hAnsi="Helvetica" w:cs="Courier New"/>
          <w:b/>
          <w:bCs/>
          <w:color w:val="009900"/>
          <w:sz w:val="22"/>
          <w:szCs w:val="22"/>
        </w:rPr>
      </w:pPr>
      <w:r w:rsidRPr="003E5554">
        <w:rPr>
          <w:rFonts w:ascii="Helvetica" w:hAnsi="Helvetica" w:cs="Helvetica"/>
          <w:b/>
          <w:bCs/>
          <w:color w:val="009900"/>
          <w:sz w:val="22"/>
          <w:szCs w:val="22"/>
        </w:rPr>
        <w:t>I - o uso de m</w:t>
      </w:r>
      <w:r w:rsidRPr="003E5554">
        <w:rPr>
          <w:rFonts w:ascii="Calibri" w:hAnsi="Calibri" w:cs="Calibri"/>
          <w:b/>
          <w:bCs/>
          <w:color w:val="009900"/>
          <w:sz w:val="22"/>
          <w:szCs w:val="22"/>
        </w:rPr>
        <w:t>á</w:t>
      </w:r>
      <w:r w:rsidRPr="003E5554">
        <w:rPr>
          <w:rFonts w:ascii="Helvetica" w:hAnsi="Helvetica" w:cs="Helvetica"/>
          <w:b/>
          <w:bCs/>
          <w:color w:val="009900"/>
          <w:sz w:val="22"/>
          <w:szCs w:val="22"/>
        </w:rPr>
        <w:t>scaras de prote</w:t>
      </w:r>
      <w:r w:rsidRPr="003E5554">
        <w:rPr>
          <w:rFonts w:ascii="Calibri" w:hAnsi="Calibri" w:cs="Calibri"/>
          <w:b/>
          <w:bCs/>
          <w:color w:val="009900"/>
          <w:sz w:val="22"/>
          <w:szCs w:val="22"/>
        </w:rPr>
        <w:t>çã</w:t>
      </w:r>
      <w:r w:rsidRPr="003E5554">
        <w:rPr>
          <w:rFonts w:ascii="Helvetica" w:hAnsi="Helvetica" w:cs="Helvetica"/>
          <w:b/>
          <w:bCs/>
          <w:color w:val="009900"/>
          <w:sz w:val="22"/>
          <w:szCs w:val="22"/>
        </w:rPr>
        <w:t xml:space="preserve">o facial em locais destinados </w:t>
      </w:r>
      <w:r w:rsidRPr="003E5554">
        <w:rPr>
          <w:rFonts w:ascii="Calibri" w:hAnsi="Calibri" w:cs="Calibri"/>
          <w:b/>
          <w:bCs/>
          <w:color w:val="009900"/>
          <w:sz w:val="22"/>
          <w:szCs w:val="22"/>
        </w:rPr>
        <w:t>à</w:t>
      </w:r>
      <w:r w:rsidRPr="003E5554">
        <w:rPr>
          <w:rFonts w:ascii="Helvetica" w:hAnsi="Helvetica" w:cs="Helvetica"/>
          <w:b/>
          <w:bCs/>
          <w:color w:val="009900"/>
          <w:sz w:val="22"/>
          <w:szCs w:val="22"/>
        </w:rPr>
        <w:t xml:space="preserve"> presta</w:t>
      </w:r>
      <w:r w:rsidRPr="003E5554">
        <w:rPr>
          <w:rFonts w:ascii="Calibri" w:hAnsi="Calibri" w:cs="Calibri"/>
          <w:b/>
          <w:bCs/>
          <w:color w:val="009900"/>
          <w:sz w:val="22"/>
          <w:szCs w:val="22"/>
        </w:rPr>
        <w:t>çã</w:t>
      </w:r>
      <w:r w:rsidRPr="003E5554">
        <w:rPr>
          <w:rFonts w:ascii="Helvetica" w:hAnsi="Helvetica" w:cs="Helvetica"/>
          <w:b/>
          <w:bCs/>
          <w:color w:val="009900"/>
          <w:sz w:val="22"/>
          <w:szCs w:val="22"/>
        </w:rPr>
        <w:t>o de servi</w:t>
      </w:r>
      <w:r w:rsidRPr="003E5554">
        <w:rPr>
          <w:rFonts w:ascii="Calibri" w:hAnsi="Calibri" w:cs="Calibri"/>
          <w:b/>
          <w:bCs/>
          <w:color w:val="009900"/>
          <w:sz w:val="22"/>
          <w:szCs w:val="22"/>
        </w:rPr>
        <w:t>ç</w:t>
      </w:r>
      <w:r w:rsidRPr="003E5554">
        <w:rPr>
          <w:rFonts w:ascii="Helvetica" w:hAnsi="Helvetica" w:cs="Helvetica"/>
          <w:b/>
          <w:bCs/>
          <w:color w:val="009900"/>
          <w:sz w:val="22"/>
          <w:szCs w:val="22"/>
        </w:rPr>
        <w:t>os de sa</w:t>
      </w:r>
      <w:r w:rsidRPr="003E5554">
        <w:rPr>
          <w:rFonts w:ascii="Calibri" w:hAnsi="Calibri" w:cs="Calibri"/>
          <w:b/>
          <w:bCs/>
          <w:color w:val="009900"/>
          <w:sz w:val="22"/>
          <w:szCs w:val="22"/>
        </w:rPr>
        <w:t>ú</w:t>
      </w:r>
      <w:r w:rsidRPr="003E5554">
        <w:rPr>
          <w:rFonts w:ascii="Helvetica" w:hAnsi="Helvetica" w:cs="Helvetica"/>
          <w:b/>
          <w:bCs/>
          <w:color w:val="009900"/>
          <w:sz w:val="22"/>
          <w:szCs w:val="22"/>
        </w:rPr>
        <w:t>de;</w:t>
      </w:r>
      <w:r w:rsidRPr="003E5554">
        <w:rPr>
          <w:rFonts w:ascii="Helvetica" w:hAnsi="Helvetica" w:cs="Calibri"/>
          <w:b/>
          <w:bCs/>
          <w:color w:val="009900"/>
          <w:sz w:val="22"/>
          <w:szCs w:val="22"/>
        </w:rPr>
        <w:t xml:space="preserve"> </w:t>
      </w:r>
      <w:r w:rsidRPr="003E5554">
        <w:rPr>
          <w:rFonts w:ascii="Helvetica" w:hAnsi="Helvetica" w:cs="Helvetica"/>
          <w:b/>
          <w:bCs/>
          <w:color w:val="009900"/>
          <w:sz w:val="22"/>
          <w:szCs w:val="22"/>
        </w:rPr>
        <w:t>(NR)</w:t>
      </w:r>
    </w:p>
    <w:p w14:paraId="64B8CB99" w14:textId="744E531A" w:rsidR="003E5554" w:rsidRDefault="003E5554" w:rsidP="003E5554">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rPr>
        <w:t>(</w:t>
      </w:r>
      <w:r>
        <w:rPr>
          <w:rFonts w:cs="Helvetica"/>
          <w:b/>
          <w:bCs/>
          <w:i/>
          <w:iCs/>
          <w:color w:val="800080"/>
        </w:rPr>
        <w:t>*</w:t>
      </w:r>
      <w:r>
        <w:rPr>
          <w:rFonts w:cs="Helvetica"/>
          <w:b/>
          <w:bCs/>
          <w:i/>
          <w:iCs/>
          <w:color w:val="000000"/>
        </w:rPr>
        <w:t>) Re</w:t>
      </w:r>
      <w:r>
        <w:rPr>
          <w:rFonts w:ascii="Calibri" w:hAnsi="Calibri" w:cs="Calibri"/>
          <w:b/>
          <w:bCs/>
          <w:i/>
          <w:iCs/>
          <w:color w:val="000000"/>
        </w:rPr>
        <w:t>vogado</w:t>
      </w:r>
      <w:r>
        <w:rPr>
          <w:rFonts w:cs="Helvetica"/>
          <w:b/>
          <w:bCs/>
          <w:i/>
          <w:iCs/>
          <w:color w:val="000000"/>
        </w:rPr>
        <w:t xml:space="preserve"> pelo Decreto n</w:t>
      </w:r>
      <w:r>
        <w:rPr>
          <w:rFonts w:ascii="Calibri" w:hAnsi="Calibri" w:cs="Calibri"/>
          <w:b/>
          <w:bCs/>
          <w:i/>
          <w:iCs/>
          <w:color w:val="000000"/>
        </w:rPr>
        <w:t>º</w:t>
      </w:r>
      <w:r>
        <w:rPr>
          <w:rFonts w:cs="Helvetica"/>
          <w:b/>
          <w:bCs/>
          <w:i/>
          <w:iCs/>
          <w:color w:val="000000"/>
        </w:rPr>
        <w:t xml:space="preserve"> 67.299, de 24 de novembro de 2022 </w:t>
      </w:r>
    </w:p>
    <w:p w14:paraId="7DDAC189" w14:textId="21FB15B4"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II - os protocolos sanitários;</w:t>
      </w:r>
    </w:p>
    <w:p w14:paraId="4C3F9323"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III - vedação de aglomerações.</w:t>
      </w:r>
    </w:p>
    <w:p w14:paraId="0C3E782C" w14:textId="10126C9F" w:rsidR="004A5039" w:rsidRPr="004A5039" w:rsidRDefault="004A5039" w:rsidP="00732575">
      <w:pPr>
        <w:pStyle w:val="TextosemFormatao"/>
        <w:spacing w:before="60" w:after="60"/>
        <w:ind w:firstLine="1418"/>
        <w:jc w:val="both"/>
        <w:rPr>
          <w:rFonts w:ascii="Helvetica" w:hAnsi="Helvetica" w:cs="Courier New"/>
          <w:sz w:val="22"/>
          <w:szCs w:val="22"/>
        </w:rPr>
      </w:pPr>
      <w:r w:rsidRPr="004A5039">
        <w:rPr>
          <w:rFonts w:ascii="Helvetica" w:hAnsi="Helvetica" w:cs="Helvetica"/>
          <w:b/>
          <w:bCs/>
          <w:i/>
          <w:iCs/>
          <w:color w:val="000000"/>
          <w:sz w:val="22"/>
          <w:szCs w:val="22"/>
        </w:rPr>
        <w:t>(</w:t>
      </w:r>
      <w:r w:rsidRPr="004A5039">
        <w:rPr>
          <w:rFonts w:ascii="Helvetica" w:hAnsi="Helvetica" w:cs="Helvetica"/>
          <w:b/>
          <w:bCs/>
          <w:i/>
          <w:iCs/>
          <w:color w:val="800080"/>
          <w:sz w:val="22"/>
          <w:szCs w:val="22"/>
        </w:rPr>
        <w:t>*</w:t>
      </w:r>
      <w:r w:rsidRPr="004A5039">
        <w:rPr>
          <w:rFonts w:ascii="Helvetica" w:hAnsi="Helvetica" w:cs="Helvetica"/>
          <w:b/>
          <w:bCs/>
          <w:i/>
          <w:iCs/>
          <w:color w:val="000000"/>
          <w:sz w:val="22"/>
          <w:szCs w:val="22"/>
        </w:rPr>
        <w:t>) Revogado pelo Decreto n</w:t>
      </w:r>
      <w:r w:rsidRPr="004A5039">
        <w:rPr>
          <w:rFonts w:ascii="Calibri" w:hAnsi="Calibri" w:cs="Calibri"/>
          <w:b/>
          <w:bCs/>
          <w:i/>
          <w:iCs/>
          <w:color w:val="000000"/>
          <w:sz w:val="22"/>
          <w:szCs w:val="22"/>
        </w:rPr>
        <w:t>º</w:t>
      </w:r>
      <w:r w:rsidRPr="004A5039">
        <w:rPr>
          <w:rFonts w:ascii="Helvetica" w:hAnsi="Helvetica" w:cs="Helvetica"/>
          <w:b/>
          <w:bCs/>
          <w:i/>
          <w:iCs/>
          <w:color w:val="000000"/>
          <w:sz w:val="22"/>
          <w:szCs w:val="22"/>
        </w:rPr>
        <w:t xml:space="preserve"> 66.179, de 3 de novembro de 2021</w:t>
      </w:r>
    </w:p>
    <w:p w14:paraId="3DFC94FC" w14:textId="232637FC" w:rsidR="00732575" w:rsidRPr="004A5039" w:rsidRDefault="00732575" w:rsidP="00732575">
      <w:pPr>
        <w:pStyle w:val="TextosemFormatao"/>
        <w:spacing w:before="60" w:after="60"/>
        <w:ind w:firstLine="1418"/>
        <w:jc w:val="both"/>
        <w:rPr>
          <w:rFonts w:ascii="Helvetica" w:hAnsi="Helvetica" w:cs="Courier New"/>
          <w:strike/>
          <w:sz w:val="22"/>
          <w:szCs w:val="22"/>
        </w:rPr>
      </w:pPr>
      <w:r w:rsidRPr="004A5039">
        <w:rPr>
          <w:rFonts w:ascii="Helvetica" w:hAnsi="Helvetica" w:cs="Courier New"/>
          <w:strike/>
          <w:sz w:val="22"/>
          <w:szCs w:val="22"/>
        </w:rPr>
        <w:t>Parágrafo único - Os protocolos a que alude o inciso II deste artigo serão divulgados por ato próprio da Secretaria da Saúde.</w:t>
      </w:r>
    </w:p>
    <w:p w14:paraId="22DCC8BB" w14:textId="20D98BB5" w:rsidR="004A5039" w:rsidRDefault="004A5039" w:rsidP="004A5039">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rPr>
        <w:t>(</w:t>
      </w:r>
      <w:r>
        <w:rPr>
          <w:rFonts w:cs="Helvetica"/>
          <w:b/>
          <w:bCs/>
          <w:i/>
          <w:iCs/>
          <w:color w:val="800080"/>
        </w:rPr>
        <w:t>*</w:t>
      </w:r>
      <w:r>
        <w:rPr>
          <w:rFonts w:cs="Helvetica"/>
          <w:b/>
          <w:bCs/>
          <w:i/>
          <w:iCs/>
          <w:color w:val="000000"/>
        </w:rPr>
        <w:t>) Nova reda</w:t>
      </w:r>
      <w:r>
        <w:rPr>
          <w:rFonts w:ascii="Calibri" w:hAnsi="Calibri" w:cs="Calibri"/>
          <w:b/>
          <w:bCs/>
          <w:i/>
          <w:iCs/>
          <w:color w:val="000000"/>
        </w:rPr>
        <w:t>çã</w:t>
      </w:r>
      <w:r>
        <w:rPr>
          <w:rFonts w:cs="Helvetica"/>
          <w:b/>
          <w:bCs/>
          <w:i/>
          <w:iCs/>
          <w:color w:val="000000"/>
        </w:rPr>
        <w:t>o dada pelo Decreto n</w:t>
      </w:r>
      <w:r>
        <w:rPr>
          <w:rFonts w:ascii="Calibri" w:hAnsi="Calibri" w:cs="Calibri"/>
          <w:b/>
          <w:bCs/>
          <w:i/>
          <w:iCs/>
          <w:color w:val="000000"/>
        </w:rPr>
        <w:t>º</w:t>
      </w:r>
      <w:r>
        <w:rPr>
          <w:rFonts w:cs="Helvetica"/>
          <w:b/>
          <w:bCs/>
          <w:i/>
          <w:iCs/>
          <w:color w:val="000000"/>
        </w:rPr>
        <w:t xml:space="preserve"> 66.179, de 3 de novembro de 2021 (art.1</w:t>
      </w:r>
      <w:r>
        <w:rPr>
          <w:rFonts w:ascii="Calibri" w:hAnsi="Calibri" w:cs="Calibri"/>
          <w:b/>
          <w:bCs/>
          <w:i/>
          <w:iCs/>
          <w:color w:val="000000"/>
        </w:rPr>
        <w:t>º</w:t>
      </w:r>
      <w:r>
        <w:rPr>
          <w:rFonts w:cs="Helvetica"/>
          <w:b/>
          <w:bCs/>
          <w:i/>
          <w:iCs/>
          <w:color w:val="000000"/>
        </w:rPr>
        <w:t>)</w:t>
      </w:r>
      <w:r>
        <w:rPr>
          <w:rFonts w:ascii="Helv" w:hAnsi="Helv" w:cs="Helv"/>
          <w:b/>
          <w:bCs/>
          <w:i/>
          <w:iCs/>
          <w:color w:val="000000"/>
          <w:sz w:val="20"/>
          <w:szCs w:val="20"/>
        </w:rPr>
        <w:t>:</w:t>
      </w:r>
    </w:p>
    <w:p w14:paraId="5DA56E8F" w14:textId="0B0D85FA" w:rsidR="004A5039" w:rsidRPr="004A5039" w:rsidRDefault="004A5039" w:rsidP="004A5039">
      <w:pPr>
        <w:pStyle w:val="TextosemFormatao"/>
        <w:spacing w:before="60" w:after="60"/>
        <w:ind w:firstLine="1418"/>
        <w:jc w:val="both"/>
        <w:rPr>
          <w:rFonts w:ascii="Helvetica" w:hAnsi="Helvetica" w:cs="Courier New"/>
          <w:sz w:val="22"/>
          <w:szCs w:val="22"/>
        </w:rPr>
      </w:pPr>
      <w:r w:rsidRPr="004A5039">
        <w:rPr>
          <w:rFonts w:ascii="Helvetica" w:hAnsi="Helvetica" w:cs="Helvetica"/>
          <w:color w:val="0000FF"/>
          <w:sz w:val="22"/>
          <w:szCs w:val="22"/>
        </w:rPr>
        <w:t>Par</w:t>
      </w:r>
      <w:r w:rsidRPr="004A5039">
        <w:rPr>
          <w:rFonts w:ascii="Calibri" w:hAnsi="Calibri" w:cs="Calibri"/>
          <w:color w:val="0000FF"/>
          <w:sz w:val="22"/>
          <w:szCs w:val="22"/>
        </w:rPr>
        <w:t>á</w:t>
      </w:r>
      <w:r w:rsidRPr="004A5039">
        <w:rPr>
          <w:rFonts w:ascii="Helvetica" w:hAnsi="Helvetica" w:cs="Helvetica"/>
          <w:color w:val="0000FF"/>
          <w:sz w:val="22"/>
          <w:szCs w:val="22"/>
        </w:rPr>
        <w:t xml:space="preserve">grafo </w:t>
      </w:r>
      <w:r w:rsidRPr="004A5039">
        <w:rPr>
          <w:rFonts w:ascii="Calibri" w:hAnsi="Calibri" w:cs="Calibri"/>
          <w:color w:val="0000FF"/>
          <w:sz w:val="22"/>
          <w:szCs w:val="22"/>
        </w:rPr>
        <w:t>ú</w:t>
      </w:r>
      <w:r w:rsidRPr="004A5039">
        <w:rPr>
          <w:rFonts w:ascii="Helvetica" w:hAnsi="Helvetica" w:cs="Helvetica"/>
          <w:color w:val="0000FF"/>
          <w:sz w:val="22"/>
          <w:szCs w:val="22"/>
        </w:rPr>
        <w:t>nico - Os protocolos a que alude o inciso II deste artigo ser</w:t>
      </w:r>
      <w:r w:rsidRPr="004A5039">
        <w:rPr>
          <w:rFonts w:ascii="Calibri" w:hAnsi="Calibri" w:cs="Calibri"/>
          <w:color w:val="0000FF"/>
          <w:sz w:val="22"/>
          <w:szCs w:val="22"/>
        </w:rPr>
        <w:t>ã</w:t>
      </w:r>
      <w:r w:rsidRPr="004A5039">
        <w:rPr>
          <w:rFonts w:ascii="Helvetica" w:hAnsi="Helvetica" w:cs="Helvetica"/>
          <w:color w:val="0000FF"/>
          <w:sz w:val="22"/>
          <w:szCs w:val="22"/>
        </w:rPr>
        <w:t>o divulgados no s</w:t>
      </w:r>
      <w:r w:rsidRPr="004A5039">
        <w:rPr>
          <w:rFonts w:ascii="Calibri" w:hAnsi="Calibri" w:cs="Calibri"/>
          <w:color w:val="0000FF"/>
          <w:sz w:val="22"/>
          <w:szCs w:val="22"/>
        </w:rPr>
        <w:t>í</w:t>
      </w:r>
      <w:r w:rsidRPr="004A5039">
        <w:rPr>
          <w:rFonts w:ascii="Helvetica" w:hAnsi="Helvetica" w:cs="Helvetica"/>
          <w:color w:val="0000FF"/>
          <w:sz w:val="22"/>
          <w:szCs w:val="22"/>
        </w:rPr>
        <w:t>tio eletr</w:t>
      </w:r>
      <w:r w:rsidRPr="004A5039">
        <w:rPr>
          <w:rFonts w:ascii="Calibri" w:hAnsi="Calibri" w:cs="Calibri"/>
          <w:color w:val="0000FF"/>
          <w:sz w:val="22"/>
          <w:szCs w:val="22"/>
        </w:rPr>
        <w:t>ô</w:t>
      </w:r>
      <w:r w:rsidRPr="004A5039">
        <w:rPr>
          <w:rFonts w:ascii="Helvetica" w:hAnsi="Helvetica" w:cs="Helvetica"/>
          <w:color w:val="0000FF"/>
          <w:sz w:val="22"/>
          <w:szCs w:val="22"/>
        </w:rPr>
        <w:t>nico</w:t>
      </w:r>
      <w:r w:rsidRPr="004A5039">
        <w:rPr>
          <w:rFonts w:ascii="Helvetica" w:hAnsi="Helvetica" w:cs="Calibri"/>
          <w:color w:val="0000FF"/>
          <w:sz w:val="22"/>
          <w:szCs w:val="22"/>
        </w:rPr>
        <w:t xml:space="preserve"> </w:t>
      </w:r>
      <w:r w:rsidRPr="004A5039">
        <w:rPr>
          <w:rFonts w:ascii="Helvetica" w:hAnsi="Helvetica" w:cs="Helvetica"/>
          <w:color w:val="0000FF"/>
          <w:sz w:val="22"/>
          <w:szCs w:val="22"/>
        </w:rPr>
        <w:t>www.saopaulo.sp.gov.br/coronavirus. (NR)</w:t>
      </w:r>
    </w:p>
    <w:p w14:paraId="1DEC5746" w14:textId="6AFBEC4E"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3º - O Centro de Contingência do Coronavírus, da Secretaria da Saúde, manterá monitoramento da capacidade de resposta do sistema de saúde do Estado, mediante análise periódica dos números de novas internações e de óbitos por COVID-19 ou Síndrome Respiratória Aguda Grave - SRAG, aferidos por meio do Sistema de Informações e Monitoramento Inteligente - SIMI, instituído pelo Decreto nº 64.963, de 5 de maio de 2020.</w:t>
      </w:r>
    </w:p>
    <w:p w14:paraId="0EDCD619"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Parágrafo único - A qualquer tempo, o Centro de Contingência do Coronavírus poderá recomendar a modificação das medidas relacionadas nos artigos 1º e 2º deste decreto. </w:t>
      </w:r>
    </w:p>
    <w:p w14:paraId="490E435D"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4º - O descumprimento do disposto neste decreto sujeitará o infrator, conforme o caso, às penalidades previstas nos incisos I, III e IX do artigo 112 da Lei nº 10.083, de 23 de setembro de 1998 - Código Sanitário do Estado, sem prejuízo do disposto na Lei federal nº 8.078, de 11 de setembro de 1990 - Código de Defesa do Consumidor e nos artigos 268 e 330 do Código Penal.</w:t>
      </w:r>
    </w:p>
    <w:p w14:paraId="433B2F29"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 1º - Para os fins do disposto neste artigo, a Polícia do Estado de São Paulo poderá determinar a dispersão de aglomerações, sempre que constatar reunião de pessoas capaz de aumentar a disseminação da COVID-19.</w:t>
      </w:r>
    </w:p>
    <w:p w14:paraId="1F325156" w14:textId="5656755D" w:rsidR="004A5039" w:rsidRPr="004A5039" w:rsidRDefault="004A5039" w:rsidP="00732575">
      <w:pPr>
        <w:pStyle w:val="TextosemFormatao"/>
        <w:spacing w:before="60" w:after="60"/>
        <w:ind w:firstLine="1418"/>
        <w:jc w:val="both"/>
        <w:rPr>
          <w:rFonts w:ascii="Helvetica" w:hAnsi="Helvetica" w:cs="Courier New"/>
          <w:sz w:val="22"/>
          <w:szCs w:val="22"/>
        </w:rPr>
      </w:pPr>
      <w:r w:rsidRPr="004A5039">
        <w:rPr>
          <w:rFonts w:ascii="Helvetica" w:hAnsi="Helvetica" w:cs="Helvetica"/>
          <w:b/>
          <w:bCs/>
          <w:i/>
          <w:iCs/>
          <w:color w:val="000000"/>
          <w:sz w:val="22"/>
          <w:szCs w:val="22"/>
        </w:rPr>
        <w:t>(</w:t>
      </w:r>
      <w:r w:rsidRPr="004A5039">
        <w:rPr>
          <w:rFonts w:ascii="Helvetica" w:hAnsi="Helvetica" w:cs="Helvetica"/>
          <w:b/>
          <w:bCs/>
          <w:i/>
          <w:iCs/>
          <w:color w:val="800080"/>
          <w:sz w:val="22"/>
          <w:szCs w:val="22"/>
        </w:rPr>
        <w:t>*</w:t>
      </w:r>
      <w:r w:rsidRPr="004A5039">
        <w:rPr>
          <w:rFonts w:ascii="Helvetica" w:hAnsi="Helvetica" w:cs="Helvetica"/>
          <w:b/>
          <w:bCs/>
          <w:i/>
          <w:iCs/>
          <w:color w:val="000000"/>
          <w:sz w:val="22"/>
          <w:szCs w:val="22"/>
        </w:rPr>
        <w:t>) Revogado pelo Decreto n</w:t>
      </w:r>
      <w:r w:rsidRPr="004A5039">
        <w:rPr>
          <w:rFonts w:ascii="Calibri" w:hAnsi="Calibri" w:cs="Calibri"/>
          <w:b/>
          <w:bCs/>
          <w:i/>
          <w:iCs/>
          <w:color w:val="000000"/>
          <w:sz w:val="22"/>
          <w:szCs w:val="22"/>
        </w:rPr>
        <w:t>º</w:t>
      </w:r>
      <w:r w:rsidRPr="004A5039">
        <w:rPr>
          <w:rFonts w:ascii="Helvetica" w:hAnsi="Helvetica" w:cs="Helvetica"/>
          <w:b/>
          <w:bCs/>
          <w:i/>
          <w:iCs/>
          <w:color w:val="000000"/>
          <w:sz w:val="22"/>
          <w:szCs w:val="22"/>
        </w:rPr>
        <w:t xml:space="preserve"> 66.179, de 3 de novembro de 2021</w:t>
      </w:r>
    </w:p>
    <w:p w14:paraId="508D12B5" w14:textId="2DF15ABA"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2º - A Secretaria da Saúde, a Secretaria da Segurança Pública e a Fundação de Proteção e Defesa do Consumidor - PROCON, no âmbito de suas respectivas atribuições, fiscalizarão o cumprimento das medidas de restrição a que aludem o artigo 1º, § 1º, e o artigo 2º deste decreto.</w:t>
      </w:r>
    </w:p>
    <w:p w14:paraId="4F138949"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5º - Para a graduação e a imposição de penalidade, a autoridade sanitária deverá observar o disposto nos artigos 116 a 120 da Lei nº 10.083, de 23 de setembro de 1998 - Código Sanitário do Estado.</w:t>
      </w:r>
    </w:p>
    <w:p w14:paraId="3B86A610"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 1º - Sem prejuízo do disposto no "caput" deste artigo, as multas aplicadas pela autoridade sanitária serão graduadas da seguinte forma: </w:t>
      </w:r>
    </w:p>
    <w:p w14:paraId="379D86E9"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lastRenderedPageBreak/>
        <w:t>1. infrações relativas a eventos com aglomeração inferior a 100 (cem) pessoas, de 500 (quinhentas) a 1.000 (mil) vezes o valor nominal da Unidade Fiscal do Estado de São Paulo - UFESP;</w:t>
      </w:r>
    </w:p>
    <w:p w14:paraId="314D5CFB"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2. infrações relativas a eventos com aglomeração de 100 (cem) até 500 (quinhentas) pessoas, de 1.001 (mil e uma) a 3.000 (três mil) vezes o valor nominal da Unidade Fiscal do Estado de São Paulo - UFESP;</w:t>
      </w:r>
    </w:p>
    <w:p w14:paraId="7FF4D5D5" w14:textId="77777777" w:rsidR="00732575" w:rsidRPr="004A5039" w:rsidRDefault="00732575" w:rsidP="00732575">
      <w:pPr>
        <w:pStyle w:val="TextosemFormatao"/>
        <w:spacing w:before="60" w:after="60"/>
        <w:ind w:firstLine="1418"/>
        <w:jc w:val="both"/>
        <w:rPr>
          <w:rFonts w:ascii="Helvetica" w:hAnsi="Helvetica" w:cs="Courier New"/>
          <w:b/>
          <w:bCs/>
          <w:color w:val="009900"/>
          <w:sz w:val="22"/>
          <w:szCs w:val="22"/>
        </w:rPr>
      </w:pPr>
      <w:r w:rsidRPr="004A5039">
        <w:rPr>
          <w:rFonts w:ascii="Helvetica" w:hAnsi="Helvetica" w:cs="Courier New"/>
          <w:b/>
          <w:bCs/>
          <w:color w:val="009900"/>
          <w:sz w:val="22"/>
          <w:szCs w:val="22"/>
        </w:rPr>
        <w:t>3. infrações relativas a eventos com aglomeração superior a 500 (quinhentas) pessoas, de 3.001 (três mil e uma) a 10.000 (dez mil) vezes o valor nominal da Unidade Fiscal do Estado de São Paulo - UFESP.</w:t>
      </w:r>
    </w:p>
    <w:p w14:paraId="21C04505" w14:textId="5F18DEB5" w:rsidR="004A5039" w:rsidRPr="004A5039" w:rsidRDefault="004A5039" w:rsidP="00732575">
      <w:pPr>
        <w:pStyle w:val="TextosemFormatao"/>
        <w:spacing w:before="60" w:after="60"/>
        <w:ind w:firstLine="1418"/>
        <w:jc w:val="both"/>
        <w:rPr>
          <w:rFonts w:ascii="Helvetica" w:hAnsi="Helvetica" w:cs="Courier New"/>
          <w:sz w:val="22"/>
          <w:szCs w:val="22"/>
        </w:rPr>
      </w:pPr>
      <w:r w:rsidRPr="004A5039">
        <w:rPr>
          <w:rFonts w:ascii="Helvetica" w:hAnsi="Helvetica" w:cs="Helvetica"/>
          <w:b/>
          <w:bCs/>
          <w:i/>
          <w:iCs/>
          <w:color w:val="000000"/>
          <w:sz w:val="22"/>
          <w:szCs w:val="22"/>
        </w:rPr>
        <w:t>(</w:t>
      </w:r>
      <w:r w:rsidRPr="004A5039">
        <w:rPr>
          <w:rFonts w:ascii="Helvetica" w:hAnsi="Helvetica" w:cs="Helvetica"/>
          <w:b/>
          <w:bCs/>
          <w:i/>
          <w:iCs/>
          <w:color w:val="800080"/>
          <w:sz w:val="22"/>
          <w:szCs w:val="22"/>
        </w:rPr>
        <w:t>*</w:t>
      </w:r>
      <w:r w:rsidRPr="004A5039">
        <w:rPr>
          <w:rFonts w:ascii="Helvetica" w:hAnsi="Helvetica" w:cs="Helvetica"/>
          <w:b/>
          <w:bCs/>
          <w:i/>
          <w:iCs/>
          <w:color w:val="000000"/>
          <w:sz w:val="22"/>
          <w:szCs w:val="22"/>
        </w:rPr>
        <w:t>) Revogado pelo Decreto n</w:t>
      </w:r>
      <w:r w:rsidRPr="004A5039">
        <w:rPr>
          <w:rFonts w:ascii="Calibri" w:hAnsi="Calibri" w:cs="Calibri"/>
          <w:b/>
          <w:bCs/>
          <w:i/>
          <w:iCs/>
          <w:color w:val="000000"/>
          <w:sz w:val="22"/>
          <w:szCs w:val="22"/>
        </w:rPr>
        <w:t>º</w:t>
      </w:r>
      <w:r w:rsidRPr="004A5039">
        <w:rPr>
          <w:rFonts w:ascii="Helvetica" w:hAnsi="Helvetica" w:cs="Helvetica"/>
          <w:b/>
          <w:bCs/>
          <w:i/>
          <w:iCs/>
          <w:color w:val="000000"/>
          <w:sz w:val="22"/>
          <w:szCs w:val="22"/>
        </w:rPr>
        <w:t xml:space="preserve"> 66.179, de 3 de novembro de 2021</w:t>
      </w:r>
    </w:p>
    <w:p w14:paraId="6EBC459C" w14:textId="05838635"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2º - Na hipótese de reincidência, a multa será aplicada em dobro, observado o limite máximo legal.</w:t>
      </w:r>
    </w:p>
    <w:p w14:paraId="47C76DFA"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3º - A penalidade de interdição poderá ser aplicada, de imediato, pela autoridade sanitária, nos termos do artigo 115 do Código Sanitário do Estado.</w:t>
      </w:r>
    </w:p>
    <w:p w14:paraId="48D2F6D9"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4° - A aplicação de três sanções de interdição, cautelar ou por tempo determinado, no período de um ano, sujeitará o infrator à sanção de interdição definitiva do estabelecimento, prevista no inciso III do artigo 115 do Código Sanitário do Estado.</w:t>
      </w:r>
    </w:p>
    <w:p w14:paraId="6054B34E"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5° - A critério da autoridade sanitária e, quando cabível, por força do disposto no artigo 122 do Código Sanitário do Estado, poderá ser aplicada a pena de prestação de serviços à comunidade, de modo alternativo ou cumulativo com as demais sanções nele previstas. </w:t>
      </w:r>
    </w:p>
    <w:p w14:paraId="2C6F9453"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6º - As penalidades a serem aplicadas pela Fundação de Proteção e Defesa do Consumidor - Procon-SP em razão do descumprimento deste decreto deverão observar o disposto na Portaria Normativa Procon nº 57, de 11 de dezembro de 2019, que trata do processo administrativo sancionatório no âmbito daquela entidade descentralizada, e alterações posteriores.</w:t>
      </w:r>
    </w:p>
    <w:p w14:paraId="4F99F796"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7º - O Secretário da Saúde, mediante resolução, poderá editar normas complementares necessárias à execução deste decreto.</w:t>
      </w:r>
    </w:p>
    <w:p w14:paraId="60BC219D"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Artigo 8º - Este decreto entra em vigor em 1º de agosto de 2021, revogadas as disposições em contrário, em especial os artigos 2º a 7º e 8º-A a 8º-C do Decreto nº 64.994, de 28 de maio de 2020.</w:t>
      </w:r>
    </w:p>
    <w:p w14:paraId="2C6261FF"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Palácio dos Bandeirantes, 30 de julho de 2021</w:t>
      </w:r>
    </w:p>
    <w:p w14:paraId="555644EF"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JOÃO DORIA</w:t>
      </w:r>
    </w:p>
    <w:p w14:paraId="05FD9C91" w14:textId="737C6F52" w:rsidR="00425814" w:rsidRPr="00732575" w:rsidRDefault="00425814" w:rsidP="00732575">
      <w:pPr>
        <w:spacing w:before="60" w:after="60" w:line="240" w:lineRule="auto"/>
        <w:ind w:firstLine="1418"/>
        <w:jc w:val="both"/>
      </w:pPr>
    </w:p>
    <w:p w14:paraId="65D23655" w14:textId="77777777" w:rsidR="00732575" w:rsidRPr="00732575" w:rsidRDefault="00732575" w:rsidP="00732575">
      <w:pPr>
        <w:pStyle w:val="TextosemFormatao"/>
        <w:spacing w:before="60" w:after="60"/>
        <w:jc w:val="center"/>
        <w:rPr>
          <w:rFonts w:ascii="Helvetica" w:hAnsi="Helvetica" w:cs="Courier New"/>
          <w:b/>
          <w:bCs/>
          <w:sz w:val="22"/>
          <w:szCs w:val="22"/>
        </w:rPr>
      </w:pPr>
      <w:r w:rsidRPr="00732575">
        <w:rPr>
          <w:rFonts w:ascii="Helvetica" w:hAnsi="Helvetica" w:cs="Courier New"/>
          <w:b/>
          <w:bCs/>
          <w:sz w:val="22"/>
          <w:szCs w:val="22"/>
        </w:rPr>
        <w:t>ANEXO</w:t>
      </w:r>
    </w:p>
    <w:p w14:paraId="4C7B3AC9" w14:textId="77777777" w:rsidR="00732575" w:rsidRPr="00732575" w:rsidRDefault="00732575" w:rsidP="00732575">
      <w:pPr>
        <w:pStyle w:val="TextosemFormatao"/>
        <w:spacing w:before="60" w:after="60"/>
        <w:jc w:val="center"/>
        <w:rPr>
          <w:rFonts w:ascii="Helvetica" w:hAnsi="Helvetica" w:cs="Courier New"/>
          <w:b/>
          <w:bCs/>
          <w:sz w:val="22"/>
          <w:szCs w:val="22"/>
        </w:rPr>
      </w:pPr>
      <w:r w:rsidRPr="00732575">
        <w:rPr>
          <w:rFonts w:ascii="Helvetica" w:hAnsi="Helvetica" w:cs="Courier New"/>
          <w:b/>
          <w:bCs/>
          <w:sz w:val="22"/>
          <w:szCs w:val="22"/>
        </w:rPr>
        <w:t>a que se refere o</w:t>
      </w:r>
    </w:p>
    <w:p w14:paraId="2E8B1E0B" w14:textId="77777777" w:rsidR="00732575" w:rsidRPr="00732575" w:rsidRDefault="00732575" w:rsidP="00732575">
      <w:pPr>
        <w:pStyle w:val="TextosemFormatao"/>
        <w:spacing w:before="60" w:after="60"/>
        <w:jc w:val="center"/>
        <w:rPr>
          <w:rFonts w:ascii="Helvetica" w:hAnsi="Helvetica" w:cs="Courier New"/>
          <w:b/>
          <w:bCs/>
          <w:sz w:val="22"/>
          <w:szCs w:val="22"/>
        </w:rPr>
      </w:pPr>
      <w:r w:rsidRPr="00732575">
        <w:rPr>
          <w:rFonts w:ascii="Helvetica" w:hAnsi="Helvetica" w:cs="Courier New"/>
          <w:b/>
          <w:bCs/>
          <w:sz w:val="22"/>
          <w:szCs w:val="22"/>
        </w:rPr>
        <w:t>Decreto nº 65.897, de 30 de julho de 2021</w:t>
      </w:r>
    </w:p>
    <w:p w14:paraId="2A0C4A7D" w14:textId="796006F4" w:rsidR="00732575" w:rsidRDefault="00732575" w:rsidP="00732575">
      <w:pPr>
        <w:pStyle w:val="TextosemFormatao"/>
        <w:spacing w:before="60" w:after="60"/>
        <w:ind w:firstLine="1418"/>
        <w:jc w:val="both"/>
        <w:rPr>
          <w:rFonts w:ascii="Helvetica" w:hAnsi="Helvetica" w:cs="Courier New"/>
          <w:b/>
          <w:bCs/>
          <w:sz w:val="22"/>
          <w:szCs w:val="22"/>
        </w:rPr>
      </w:pPr>
      <w:r w:rsidRPr="00732575">
        <w:rPr>
          <w:rFonts w:ascii="Helvetica" w:hAnsi="Helvetica" w:cs="Courier New"/>
          <w:b/>
          <w:bCs/>
          <w:sz w:val="22"/>
          <w:szCs w:val="22"/>
        </w:rPr>
        <w:t>Nota Técnica do Centro de Contingência do Coronavírus</w:t>
      </w:r>
    </w:p>
    <w:p w14:paraId="73F7AE0E" w14:textId="77777777" w:rsidR="00732575" w:rsidRPr="00732575" w:rsidRDefault="00732575" w:rsidP="00732575">
      <w:pPr>
        <w:pStyle w:val="TextosemFormatao"/>
        <w:spacing w:before="60" w:after="60"/>
        <w:ind w:firstLine="1418"/>
        <w:jc w:val="both"/>
        <w:rPr>
          <w:rFonts w:ascii="Helvetica" w:hAnsi="Helvetica" w:cs="Courier New"/>
          <w:b/>
          <w:bCs/>
          <w:sz w:val="22"/>
          <w:szCs w:val="22"/>
        </w:rPr>
      </w:pPr>
    </w:p>
    <w:p w14:paraId="3492639E" w14:textId="68CD14E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xml:space="preserve">Com fundamento no artigo 6º do Decreto nº 64.994, de 28 de maio de 2020, este Centro de Contingência vem apresentar as recomendações que seguem. </w:t>
      </w:r>
    </w:p>
    <w:p w14:paraId="6F0485CD"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 xml:space="preserve">O mês de julho de 2021 revelou significativa redução na curva de contágio pelo coronavírus em todo Estado de São Paulo, ao mesmo tempo em que se observou um contínuo avanço na vacinação da população paulista. </w:t>
      </w:r>
    </w:p>
    <w:p w14:paraId="1B8E0EC6"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lastRenderedPageBreak/>
        <w:t>Por sua vez, as médias diárias de casos, óbitos e internações também apresentaram significativa redução.</w:t>
      </w:r>
    </w:p>
    <w:p w14:paraId="33D97ACD"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Quanto à capacidade do sistema de saúde, na última semana, a ocupação de leitos UTI-COVID chegou a ser inferior a 50%. Na CROSS, foram registradas menos de 100 novas solicitações de transferências de pacientes, patamar que há meses não se via.</w:t>
      </w:r>
    </w:p>
    <w:p w14:paraId="3948DF24"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Nesse sentido, e considerando que 58,75% da população do Estado já recebeu ao menos uma dose da vacina contra COVID-19, é possível sugerir que a restrição de ocupação em espaços de acesso ao público passe, a partir de 1º de agosto, para até 80% da respectiva capacidade. Também é possível recomendar a extensão dos períodos de atendimento presencial, das 6h até meia-noite.</w:t>
      </w:r>
    </w:p>
    <w:p w14:paraId="3BA54BA9"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Importante salientar que no decorrer das próximas semanas será mantido o monitoramento da epidemia, sobretudo da variante delta, cuja transmissão comunitária já foi detectada no Estado. Desta maneira, e com a cautela de sempre, recomenda-se a manutenção das medidas não farmacológicas ora em vigor em todo o estado, especialmente a obrigatoriedade do uso de máscara de proteção facial, em todos os espaços de acesso ao público, e a vedação de aglomerações.</w:t>
      </w:r>
    </w:p>
    <w:p w14:paraId="4F54553B"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São Paulo, 30 de julho de 2021</w:t>
      </w:r>
    </w:p>
    <w:p w14:paraId="7156932B"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Dr. Paulo Menezes</w:t>
      </w:r>
    </w:p>
    <w:p w14:paraId="2158D78D" w14:textId="77777777" w:rsidR="00732575" w:rsidRPr="00732575" w:rsidRDefault="00732575" w:rsidP="00732575">
      <w:pPr>
        <w:pStyle w:val="TextosemFormatao"/>
        <w:spacing w:before="60" w:after="60"/>
        <w:ind w:firstLine="1418"/>
        <w:jc w:val="both"/>
        <w:rPr>
          <w:rFonts w:ascii="Helvetica" w:hAnsi="Helvetica" w:cs="Courier New"/>
          <w:sz w:val="22"/>
          <w:szCs w:val="22"/>
        </w:rPr>
      </w:pPr>
      <w:r w:rsidRPr="00732575">
        <w:rPr>
          <w:rFonts w:ascii="Helvetica" w:hAnsi="Helvetica" w:cs="Courier New"/>
          <w:sz w:val="22"/>
          <w:szCs w:val="22"/>
        </w:rPr>
        <w:t>Coordenador do Centro de Contingência</w:t>
      </w:r>
    </w:p>
    <w:sectPr w:rsidR="00732575" w:rsidRPr="00732575" w:rsidSect="00732575">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75"/>
    <w:rsid w:val="000C620D"/>
    <w:rsid w:val="00172B56"/>
    <w:rsid w:val="003E5554"/>
    <w:rsid w:val="00425814"/>
    <w:rsid w:val="004A5039"/>
    <w:rsid w:val="004E1B2C"/>
    <w:rsid w:val="006868BA"/>
    <w:rsid w:val="00732575"/>
    <w:rsid w:val="0085167F"/>
    <w:rsid w:val="00B8252B"/>
    <w:rsid w:val="00FE2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8FF1"/>
  <w15:chartTrackingRefBased/>
  <w15:docId w15:val="{635AB9FE-CDEC-44E3-866F-AF49E73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73257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73257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1405</Words>
  <Characters>7592</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12</cp:revision>
  <dcterms:created xsi:type="dcterms:W3CDTF">2021-08-02T12:42:00Z</dcterms:created>
  <dcterms:modified xsi:type="dcterms:W3CDTF">2023-03-06T19:20:00Z</dcterms:modified>
</cp:coreProperties>
</file>