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0430" w14:textId="1BCCCA9D" w:rsidR="00A843E3" w:rsidRPr="00972BAE" w:rsidRDefault="00A843E3" w:rsidP="00A843E3">
      <w:pPr>
        <w:spacing w:line="360" w:lineRule="atLeast"/>
        <w:jc w:val="center"/>
        <w:rPr>
          <w:color w:val="000000"/>
          <w:sz w:val="26"/>
          <w:szCs w:val="26"/>
        </w:rPr>
      </w:pPr>
      <w:bookmarkStart w:id="0" w:name="_Hlk133331013"/>
      <w:r w:rsidRPr="00972BAE">
        <w:rPr>
          <w:b/>
          <w:bCs/>
          <w:color w:val="000000"/>
          <w:spacing w:val="10"/>
          <w:sz w:val="26"/>
          <w:szCs w:val="26"/>
        </w:rPr>
        <w:t>Lei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972BAE">
        <w:rPr>
          <w:b/>
          <w:bCs/>
          <w:color w:val="000000"/>
          <w:spacing w:val="10"/>
          <w:sz w:val="26"/>
          <w:szCs w:val="26"/>
        </w:rPr>
        <w:t>n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972BAE">
        <w:rPr>
          <w:b/>
          <w:bCs/>
          <w:color w:val="000000"/>
          <w:spacing w:val="10"/>
          <w:sz w:val="26"/>
          <w:szCs w:val="26"/>
        </w:rPr>
        <w:t>º</w:t>
      </w:r>
      <w:r w:rsidR="004E4DB6">
        <w:rPr>
          <w:b/>
          <w:bCs/>
          <w:color w:val="000000"/>
          <w:spacing w:val="10"/>
          <w:sz w:val="26"/>
          <w:szCs w:val="26"/>
        </w:rPr>
        <w:t xml:space="preserve"> </w:t>
      </w:r>
      <w:r w:rsidR="006D1458">
        <w:rPr>
          <w:b/>
          <w:bCs/>
          <w:color w:val="000000"/>
          <w:spacing w:val="10"/>
          <w:sz w:val="26"/>
          <w:szCs w:val="26"/>
        </w:rPr>
        <w:t>18.151</w:t>
      </w:r>
      <w:r w:rsidRPr="00972BAE">
        <w:rPr>
          <w:b/>
          <w:bCs/>
          <w:color w:val="000000"/>
          <w:spacing w:val="10"/>
          <w:sz w:val="26"/>
          <w:szCs w:val="26"/>
        </w:rPr>
        <w:t>, de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="006D1458">
        <w:rPr>
          <w:b/>
          <w:bCs/>
          <w:color w:val="000000"/>
          <w:spacing w:val="10"/>
          <w:sz w:val="26"/>
          <w:szCs w:val="26"/>
        </w:rPr>
        <w:t>21</w:t>
      </w:r>
      <w:r w:rsidRPr="00972BAE">
        <w:rPr>
          <w:b/>
          <w:bCs/>
          <w:color w:val="000000"/>
          <w:spacing w:val="10"/>
          <w:sz w:val="26"/>
          <w:szCs w:val="26"/>
        </w:rPr>
        <w:t xml:space="preserve"> de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="005769FE">
        <w:rPr>
          <w:b/>
          <w:bCs/>
          <w:color w:val="000000"/>
          <w:spacing w:val="10"/>
          <w:sz w:val="26"/>
          <w:szCs w:val="26"/>
        </w:rPr>
        <w:t xml:space="preserve">abril </w:t>
      </w:r>
      <w:r w:rsidRPr="00972BAE">
        <w:rPr>
          <w:b/>
          <w:bCs/>
          <w:color w:val="000000"/>
          <w:spacing w:val="10"/>
          <w:sz w:val="26"/>
          <w:szCs w:val="26"/>
        </w:rPr>
        <w:t>de 202</w:t>
      </w:r>
      <w:bookmarkEnd w:id="0"/>
      <w:r>
        <w:rPr>
          <w:b/>
          <w:bCs/>
          <w:color w:val="000000"/>
          <w:spacing w:val="10"/>
          <w:sz w:val="26"/>
          <w:szCs w:val="26"/>
        </w:rPr>
        <w:t xml:space="preserve">5 </w:t>
      </w:r>
    </w:p>
    <w:p w14:paraId="69F94BA7" w14:textId="77777777" w:rsidR="00A843E3" w:rsidRPr="00972BAE" w:rsidRDefault="00A843E3" w:rsidP="00A843E3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1BD82891" w14:textId="77777777" w:rsidR="00A843E3" w:rsidRPr="00CC4B8F" w:rsidRDefault="00A843E3" w:rsidP="00A843E3">
      <w:pPr>
        <w:pStyle w:val="Corpodetexto"/>
        <w:jc w:val="both"/>
        <w:rPr>
          <w:b/>
          <w:spacing w:val="10"/>
          <w:sz w:val="26"/>
        </w:rPr>
      </w:pPr>
    </w:p>
    <w:p w14:paraId="4E99043D" w14:textId="77777777" w:rsidR="00A843E3" w:rsidRPr="00453AEB" w:rsidRDefault="00A843E3" w:rsidP="00666908">
      <w:pPr>
        <w:tabs>
          <w:tab w:val="left" w:pos="2977"/>
        </w:tabs>
        <w:spacing w:line="240" w:lineRule="exact"/>
        <w:ind w:left="2835" w:firstLine="851"/>
        <w:jc w:val="both"/>
        <w:rPr>
          <w:i/>
          <w:iCs/>
          <w:spacing w:val="10"/>
          <w:sz w:val="26"/>
          <w:szCs w:val="26"/>
        </w:rPr>
      </w:pPr>
      <w:r w:rsidRPr="00453AEB">
        <w:rPr>
          <w:i/>
          <w:iCs/>
          <w:spacing w:val="10"/>
          <w:sz w:val="26"/>
          <w:szCs w:val="26"/>
        </w:rPr>
        <w:t>Autoriza o Poder Executivo a contratar Parceria-Público-Privada, na forma que determina.</w:t>
      </w:r>
    </w:p>
    <w:p w14:paraId="5F775FF0" w14:textId="77777777" w:rsidR="00A843E3" w:rsidRPr="00CC4B8F" w:rsidRDefault="00A843E3" w:rsidP="00A843E3">
      <w:pPr>
        <w:pStyle w:val="Corpodetexto"/>
        <w:jc w:val="both"/>
        <w:rPr>
          <w:i/>
          <w:spacing w:val="10"/>
          <w:sz w:val="26"/>
        </w:rPr>
      </w:pPr>
    </w:p>
    <w:p w14:paraId="01A8687C" w14:textId="77777777" w:rsidR="00A843E3" w:rsidRPr="00CC4B8F" w:rsidRDefault="00A843E3" w:rsidP="00A843E3">
      <w:pPr>
        <w:pStyle w:val="Corpodetexto"/>
        <w:spacing w:before="8"/>
        <w:jc w:val="both"/>
        <w:rPr>
          <w:i/>
          <w:spacing w:val="10"/>
          <w:sz w:val="26"/>
        </w:rPr>
      </w:pPr>
    </w:p>
    <w:p w14:paraId="34BD1EE9" w14:textId="77777777" w:rsidR="00A843E3" w:rsidRPr="001D4D38" w:rsidRDefault="00A843E3" w:rsidP="00A843E3">
      <w:pPr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O GOVERNADOR DO ESTADO DE SÃO PAULO:</w:t>
      </w:r>
    </w:p>
    <w:p w14:paraId="56579D85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</w:p>
    <w:p w14:paraId="7A42EA97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Faço saber que a Assembleia Legislativa decreta e eu promulgo a seguinte lei</w:t>
      </w:r>
      <w:r w:rsidRPr="001D4D38">
        <w:rPr>
          <w:spacing w:val="10"/>
          <w:sz w:val="26"/>
          <w:szCs w:val="26"/>
        </w:rPr>
        <w:t>:</w:t>
      </w:r>
    </w:p>
    <w:p w14:paraId="742EA155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3BF02B19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 xml:space="preserve">Artigo </w:t>
      </w:r>
      <w:r w:rsidRPr="00215927">
        <w:rPr>
          <w:b/>
          <w:bCs/>
          <w:spacing w:val="10"/>
          <w:sz w:val="26"/>
          <w:szCs w:val="26"/>
        </w:rPr>
        <w:t xml:space="preserve">1º </w:t>
      </w:r>
      <w:r w:rsidRPr="00215927">
        <w:rPr>
          <w:spacing w:val="10"/>
          <w:sz w:val="26"/>
          <w:szCs w:val="26"/>
        </w:rPr>
        <w:t>-</w:t>
      </w:r>
      <w:r w:rsidRPr="001D4D38">
        <w:rPr>
          <w:b/>
          <w:spacing w:val="10"/>
          <w:sz w:val="26"/>
          <w:szCs w:val="26"/>
        </w:rPr>
        <w:t xml:space="preserve"> </w:t>
      </w:r>
      <w:r w:rsidRPr="001D4D38">
        <w:rPr>
          <w:bCs/>
          <w:spacing w:val="10"/>
          <w:sz w:val="26"/>
          <w:szCs w:val="26"/>
        </w:rPr>
        <w:t>Fica o Poder Executivo autorizado, para os fins do disposto no § 3º do artigo 10 da Lei federal n</w:t>
      </w:r>
      <w:r>
        <w:rPr>
          <w:bCs/>
          <w:spacing w:val="10"/>
          <w:sz w:val="26"/>
          <w:szCs w:val="26"/>
        </w:rPr>
        <w:t>.</w:t>
      </w:r>
      <w:r w:rsidRPr="001D4D38">
        <w:rPr>
          <w:bCs/>
          <w:spacing w:val="10"/>
          <w:sz w:val="26"/>
          <w:szCs w:val="26"/>
        </w:rPr>
        <w:t>º 11.079, de 30 de dezembro de 2004, a realizar contratação de parceria público-privada, por meio de concessão patrocinada, precedida de licitação, para a operação, manutenção e realização dos investimentos necessários à exploração do sistema aquaviário de transporte de veículos e passageiros denominado “Sistema de Travessias”.</w:t>
      </w:r>
    </w:p>
    <w:p w14:paraId="07B2233F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57FECE19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Parágrafo único -</w:t>
      </w:r>
      <w:r w:rsidRPr="001D4D38">
        <w:rPr>
          <w:spacing w:val="10"/>
          <w:sz w:val="26"/>
          <w:szCs w:val="26"/>
        </w:rPr>
        <w:t xml:space="preserve"> O “Sistema de Travessias” é constituído por:</w:t>
      </w:r>
    </w:p>
    <w:p w14:paraId="0D59E032" w14:textId="77777777" w:rsidR="005E053E" w:rsidRPr="001D4D38" w:rsidRDefault="005E053E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65358759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 xml:space="preserve">1 </w:t>
      </w:r>
      <w:r w:rsidRPr="00F30EBF">
        <w:rPr>
          <w:spacing w:val="10"/>
          <w:sz w:val="26"/>
          <w:szCs w:val="26"/>
        </w:rPr>
        <w:t>-</w:t>
      </w:r>
      <w:r w:rsidRPr="001D4D38">
        <w:rPr>
          <w:spacing w:val="10"/>
          <w:sz w:val="26"/>
          <w:szCs w:val="26"/>
        </w:rPr>
        <w:t xml:space="preserve"> Litoral Norte:</w:t>
      </w:r>
    </w:p>
    <w:p w14:paraId="51963B3F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0B6BB888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a)</w:t>
      </w:r>
      <w:r w:rsidRPr="001D4D38">
        <w:rPr>
          <w:spacing w:val="10"/>
          <w:sz w:val="26"/>
          <w:szCs w:val="26"/>
        </w:rPr>
        <w:t xml:space="preserve"> Travessia São Sebastião – Ilhabela.</w:t>
      </w:r>
    </w:p>
    <w:p w14:paraId="3E92E850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24E713AA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2</w:t>
      </w:r>
      <w:r>
        <w:rPr>
          <w:b/>
          <w:bCs/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 xml:space="preserve">- </w:t>
      </w:r>
      <w:r w:rsidRPr="001D4D38">
        <w:rPr>
          <w:spacing w:val="10"/>
          <w:sz w:val="26"/>
          <w:szCs w:val="26"/>
        </w:rPr>
        <w:t>Litoral Centro:</w:t>
      </w:r>
    </w:p>
    <w:p w14:paraId="4FEA28FD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65334FA5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a)</w:t>
      </w:r>
      <w:r w:rsidRPr="001D4D38">
        <w:rPr>
          <w:bCs/>
          <w:spacing w:val="10"/>
          <w:sz w:val="26"/>
          <w:szCs w:val="26"/>
        </w:rPr>
        <w:t xml:space="preserve"> Travessia Santos – Guarujá;</w:t>
      </w:r>
    </w:p>
    <w:p w14:paraId="7C834FB2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549548F0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b)</w:t>
      </w:r>
      <w:r w:rsidRPr="001D4D38">
        <w:rPr>
          <w:bCs/>
          <w:spacing w:val="10"/>
          <w:sz w:val="26"/>
          <w:szCs w:val="26"/>
        </w:rPr>
        <w:t xml:space="preserve"> Travessia Santos – Vicente de Carvalho;</w:t>
      </w:r>
    </w:p>
    <w:p w14:paraId="7E1C00F7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135E0582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c)</w:t>
      </w:r>
      <w:r w:rsidRPr="001D4D38">
        <w:rPr>
          <w:bCs/>
          <w:spacing w:val="10"/>
          <w:sz w:val="26"/>
          <w:szCs w:val="26"/>
        </w:rPr>
        <w:t xml:space="preserve"> Travessia Bertioga – Guarujá.</w:t>
      </w:r>
    </w:p>
    <w:p w14:paraId="190616C8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19A4C63C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3</w:t>
      </w:r>
      <w:r w:rsidRPr="001D4D38">
        <w:rPr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-</w:t>
      </w:r>
      <w:r w:rsidRPr="001D4D38">
        <w:rPr>
          <w:spacing w:val="10"/>
          <w:sz w:val="26"/>
          <w:szCs w:val="26"/>
        </w:rPr>
        <w:t xml:space="preserve"> Litoral Sul:</w:t>
      </w:r>
    </w:p>
    <w:p w14:paraId="61559B86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2C3C5892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lastRenderedPageBreak/>
        <w:t>a)</w:t>
      </w:r>
      <w:r w:rsidRPr="001D4D38">
        <w:rPr>
          <w:bCs/>
          <w:spacing w:val="10"/>
          <w:sz w:val="26"/>
          <w:szCs w:val="26"/>
        </w:rPr>
        <w:t xml:space="preserve"> Travessia Cananéia – Ilha Comprida;</w:t>
      </w:r>
    </w:p>
    <w:p w14:paraId="221E9A4E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0B125DD5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b)</w:t>
      </w:r>
      <w:r w:rsidRPr="001D4D38">
        <w:rPr>
          <w:bCs/>
          <w:spacing w:val="10"/>
          <w:sz w:val="26"/>
          <w:szCs w:val="26"/>
        </w:rPr>
        <w:t xml:space="preserve"> Travessia Cananéia – Continente;</w:t>
      </w:r>
    </w:p>
    <w:p w14:paraId="5AA67065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3E32BF7D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c)</w:t>
      </w:r>
      <w:r w:rsidRPr="001D4D38">
        <w:rPr>
          <w:bCs/>
          <w:spacing w:val="10"/>
          <w:sz w:val="26"/>
          <w:szCs w:val="26"/>
        </w:rPr>
        <w:t xml:space="preserve"> Travessia Iguape – Juréia;</w:t>
      </w:r>
    </w:p>
    <w:p w14:paraId="3BE8EE5C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720D11FD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d)</w:t>
      </w:r>
      <w:r w:rsidRPr="001D4D38">
        <w:rPr>
          <w:bCs/>
          <w:spacing w:val="10"/>
          <w:sz w:val="26"/>
          <w:szCs w:val="26"/>
        </w:rPr>
        <w:t xml:space="preserve"> Travessia Cananéia – Ariri.</w:t>
      </w:r>
    </w:p>
    <w:p w14:paraId="7A781D8E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6D12BA28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4</w:t>
      </w:r>
      <w:r w:rsidRPr="001D4D38">
        <w:rPr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-</w:t>
      </w:r>
      <w:r w:rsidRPr="001D4D38">
        <w:rPr>
          <w:spacing w:val="10"/>
          <w:sz w:val="26"/>
          <w:szCs w:val="26"/>
        </w:rPr>
        <w:t xml:space="preserve"> Região Metropolitana de São Paulo:</w:t>
      </w:r>
    </w:p>
    <w:p w14:paraId="027C8E31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7F679270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a)</w:t>
      </w:r>
      <w:r w:rsidRPr="001D4D38">
        <w:rPr>
          <w:bCs/>
          <w:spacing w:val="10"/>
          <w:sz w:val="26"/>
          <w:szCs w:val="26"/>
        </w:rPr>
        <w:t xml:space="preserve"> Bororé – Grajaú;</w:t>
      </w:r>
    </w:p>
    <w:p w14:paraId="4369CC13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4CC6C959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b)</w:t>
      </w:r>
      <w:r w:rsidRPr="001D4D38">
        <w:rPr>
          <w:bCs/>
          <w:spacing w:val="10"/>
          <w:sz w:val="26"/>
          <w:szCs w:val="26"/>
        </w:rPr>
        <w:t xml:space="preserve"> Taquacetuba – Bororé;</w:t>
      </w:r>
    </w:p>
    <w:p w14:paraId="01272A03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56835DED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c)</w:t>
      </w:r>
      <w:r w:rsidRPr="001D4D38">
        <w:rPr>
          <w:bCs/>
          <w:spacing w:val="10"/>
          <w:sz w:val="26"/>
          <w:szCs w:val="26"/>
        </w:rPr>
        <w:t xml:space="preserve"> João Basso – Taquacetuba.</w:t>
      </w:r>
    </w:p>
    <w:p w14:paraId="08B726B7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755502B5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5</w:t>
      </w:r>
      <w:r w:rsidRPr="001D4D38">
        <w:rPr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-</w:t>
      </w:r>
      <w:r w:rsidRPr="001D4D38">
        <w:rPr>
          <w:spacing w:val="10"/>
          <w:sz w:val="26"/>
          <w:szCs w:val="26"/>
        </w:rPr>
        <w:t xml:space="preserve"> Paraibuna:</w:t>
      </w:r>
    </w:p>
    <w:p w14:paraId="5955DDDA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14:paraId="4E2CD706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a)</w:t>
      </w:r>
      <w:r w:rsidRPr="001D4D38">
        <w:rPr>
          <w:bCs/>
          <w:spacing w:val="10"/>
          <w:sz w:val="26"/>
          <w:szCs w:val="26"/>
        </w:rPr>
        <w:t xml:space="preserve"> Porto Paraitinga;</w:t>
      </w:r>
    </w:p>
    <w:p w14:paraId="2941F16D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61D799D1" w14:textId="77777777" w:rsidR="00A843E3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b)</w:t>
      </w:r>
      <w:r w:rsidRPr="001D4D38">
        <w:rPr>
          <w:bCs/>
          <w:spacing w:val="10"/>
          <w:sz w:val="26"/>
          <w:szCs w:val="26"/>
        </w:rPr>
        <w:t xml:space="preserve"> Porto Varginha;</w:t>
      </w:r>
    </w:p>
    <w:p w14:paraId="2734E21C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32D31753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spacing w:val="10"/>
          <w:sz w:val="26"/>
          <w:szCs w:val="26"/>
        </w:rPr>
        <w:t>c)</w:t>
      </w:r>
      <w:r w:rsidRPr="001D4D38">
        <w:rPr>
          <w:bCs/>
          <w:spacing w:val="10"/>
          <w:sz w:val="26"/>
          <w:szCs w:val="26"/>
        </w:rPr>
        <w:t xml:space="preserve"> Porto Natividade da Serra.</w:t>
      </w:r>
    </w:p>
    <w:p w14:paraId="6732AC1C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1E0189A9" w14:textId="77777777" w:rsidR="00A843E3" w:rsidRPr="001D4D38" w:rsidRDefault="00A843E3" w:rsidP="00A843E3">
      <w:pPr>
        <w:pStyle w:val="Corpodetexto"/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  <w:r w:rsidRPr="001D4D38">
        <w:rPr>
          <w:b/>
          <w:bCs/>
          <w:spacing w:val="10"/>
          <w:sz w:val="26"/>
          <w:szCs w:val="26"/>
        </w:rPr>
        <w:t>Artigo 2º</w:t>
      </w:r>
      <w:r w:rsidRPr="001D4D38">
        <w:rPr>
          <w:bCs/>
          <w:spacing w:val="10"/>
          <w:sz w:val="26"/>
          <w:szCs w:val="26"/>
        </w:rPr>
        <w:t xml:space="preserve"> - Esta lei entra em vigor na data de sua publicação.</w:t>
      </w:r>
    </w:p>
    <w:p w14:paraId="3C0AE9EB" w14:textId="77777777" w:rsidR="00A843E3" w:rsidRDefault="00A843E3" w:rsidP="00A843E3">
      <w:pPr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</w:p>
    <w:p w14:paraId="09BCA7D4" w14:textId="77777777" w:rsidR="00A843E3" w:rsidRPr="00454B56" w:rsidRDefault="00A843E3" w:rsidP="00A843E3">
      <w:pPr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  <w:r w:rsidRPr="00454B56">
        <w:rPr>
          <w:b/>
          <w:spacing w:val="10"/>
          <w:sz w:val="26"/>
          <w:szCs w:val="26"/>
        </w:rPr>
        <w:t>Palácio dos Bandeirantes, na data da assinatura digital.</w:t>
      </w:r>
    </w:p>
    <w:p w14:paraId="257F201F" w14:textId="77777777" w:rsidR="00A843E3" w:rsidRPr="00454B56" w:rsidRDefault="00A843E3" w:rsidP="00A843E3">
      <w:pPr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</w:p>
    <w:p w14:paraId="19001045" w14:textId="77777777" w:rsidR="00A843E3" w:rsidRDefault="00A843E3" w:rsidP="00A843E3">
      <w:pPr>
        <w:spacing w:line="360" w:lineRule="atLeast"/>
        <w:jc w:val="center"/>
        <w:rPr>
          <w:b/>
          <w:spacing w:val="10"/>
          <w:sz w:val="26"/>
          <w:szCs w:val="26"/>
        </w:rPr>
      </w:pPr>
      <w:r w:rsidRPr="00454B56">
        <w:rPr>
          <w:b/>
          <w:spacing w:val="10"/>
          <w:sz w:val="26"/>
          <w:szCs w:val="26"/>
        </w:rPr>
        <w:t>Tarcísio de Freitas</w:t>
      </w:r>
    </w:p>
    <w:p w14:paraId="2A596CDD" w14:textId="77777777" w:rsidR="00DD0FC4" w:rsidRDefault="00DD0FC4" w:rsidP="00A843E3">
      <w:pPr>
        <w:spacing w:line="360" w:lineRule="atLeast"/>
        <w:jc w:val="center"/>
        <w:rPr>
          <w:b/>
          <w:spacing w:val="10"/>
          <w:sz w:val="26"/>
          <w:szCs w:val="26"/>
        </w:rPr>
      </w:pPr>
    </w:p>
    <w:p w14:paraId="158C2370" w14:textId="77777777" w:rsidR="00DD0FC4" w:rsidRDefault="00DD0FC4" w:rsidP="00DD0FC4">
      <w:pPr>
        <w:spacing w:line="360" w:lineRule="atLeast"/>
        <w:rPr>
          <w:bCs/>
          <w:spacing w:val="10"/>
          <w:sz w:val="26"/>
          <w:szCs w:val="26"/>
        </w:rPr>
      </w:pPr>
    </w:p>
    <w:p w14:paraId="740ED7C5" w14:textId="7B4532DD" w:rsidR="00F16806" w:rsidRDefault="00F16806" w:rsidP="00F16806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Diego </w:t>
      </w:r>
      <w:r w:rsidR="00351188">
        <w:rPr>
          <w:color w:val="000000"/>
          <w:spacing w:val="10"/>
          <w:sz w:val="26"/>
          <w:szCs w:val="26"/>
        </w:rPr>
        <w:t xml:space="preserve">Allan Vieira </w:t>
      </w:r>
      <w:r>
        <w:rPr>
          <w:color w:val="000000"/>
          <w:spacing w:val="10"/>
          <w:sz w:val="26"/>
          <w:szCs w:val="26"/>
        </w:rPr>
        <w:t>Domingues</w:t>
      </w:r>
    </w:p>
    <w:p w14:paraId="78789813" w14:textId="77777777" w:rsidR="00F16806" w:rsidRDefault="00F16806" w:rsidP="00F16806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Secretário Executivo respondendo pelo expediente da </w:t>
      </w:r>
      <w:r w:rsidRPr="00C45CB6">
        <w:rPr>
          <w:color w:val="000000"/>
          <w:spacing w:val="10"/>
          <w:sz w:val="26"/>
          <w:szCs w:val="26"/>
        </w:rPr>
        <w:t>Secret</w:t>
      </w:r>
      <w:r>
        <w:rPr>
          <w:color w:val="000000"/>
          <w:spacing w:val="10"/>
          <w:sz w:val="26"/>
          <w:szCs w:val="26"/>
        </w:rPr>
        <w:t>a</w:t>
      </w:r>
      <w:r w:rsidRPr="00C45CB6">
        <w:rPr>
          <w:color w:val="000000"/>
          <w:spacing w:val="10"/>
          <w:sz w:val="26"/>
          <w:szCs w:val="26"/>
        </w:rPr>
        <w:t>ria d</w:t>
      </w:r>
      <w:r>
        <w:rPr>
          <w:color w:val="000000"/>
          <w:spacing w:val="10"/>
          <w:sz w:val="26"/>
          <w:szCs w:val="26"/>
        </w:rPr>
        <w:t>e</w:t>
      </w:r>
      <w:r w:rsidRPr="00BC262E">
        <w:rPr>
          <w:color w:val="000000"/>
          <w:spacing w:val="10"/>
          <w:sz w:val="26"/>
          <w:szCs w:val="26"/>
        </w:rPr>
        <w:t xml:space="preserve"> </w:t>
      </w:r>
      <w:r w:rsidRPr="00D13EB7">
        <w:rPr>
          <w:color w:val="000000"/>
          <w:spacing w:val="10"/>
          <w:sz w:val="26"/>
          <w:szCs w:val="26"/>
        </w:rPr>
        <w:t>Parcerias em Investimentos</w:t>
      </w:r>
    </w:p>
    <w:p w14:paraId="754E1190" w14:textId="5E919143" w:rsidR="0ADAB783" w:rsidRPr="0038039D" w:rsidRDefault="0ADAB783" w:rsidP="0ADAB783">
      <w:pPr>
        <w:rPr>
          <w:spacing w:val="4"/>
          <w:sz w:val="26"/>
          <w:szCs w:val="26"/>
        </w:rPr>
      </w:pPr>
    </w:p>
    <w:p w14:paraId="474AC0BF" w14:textId="5DF14064" w:rsidR="16995064" w:rsidRPr="0038039D" w:rsidRDefault="16995064" w:rsidP="0ADAB783">
      <w:pPr>
        <w:rPr>
          <w:spacing w:val="4"/>
          <w:sz w:val="26"/>
          <w:szCs w:val="26"/>
        </w:rPr>
      </w:pPr>
      <w:r w:rsidRPr="0038039D">
        <w:rPr>
          <w:spacing w:val="4"/>
          <w:sz w:val="26"/>
          <w:szCs w:val="26"/>
        </w:rPr>
        <w:t>Natalia Resende Andrade Ávila</w:t>
      </w:r>
    </w:p>
    <w:p w14:paraId="55F34D4E" w14:textId="67B4A1B8" w:rsidR="16995064" w:rsidRPr="0038039D" w:rsidRDefault="16995064" w:rsidP="00A200A7">
      <w:pPr>
        <w:spacing w:after="165"/>
        <w:rPr>
          <w:spacing w:val="4"/>
          <w:sz w:val="26"/>
          <w:szCs w:val="26"/>
        </w:rPr>
      </w:pPr>
      <w:r w:rsidRPr="0038039D">
        <w:rPr>
          <w:spacing w:val="4"/>
          <w:sz w:val="26"/>
          <w:szCs w:val="26"/>
        </w:rPr>
        <w:t>Secretária de Meio Ambiente, Infraestrutura e Logística</w:t>
      </w:r>
    </w:p>
    <w:p w14:paraId="08C362AF" w14:textId="49FEA58C" w:rsidR="00DD0FC4" w:rsidRPr="00DD0FC4" w:rsidRDefault="00DD0FC4" w:rsidP="060B6D24">
      <w:pPr>
        <w:rPr>
          <w:bCs/>
          <w:spacing w:val="10"/>
          <w:sz w:val="26"/>
          <w:szCs w:val="26"/>
        </w:rPr>
      </w:pPr>
      <w:r w:rsidRPr="00DD0FC4">
        <w:rPr>
          <w:bCs/>
          <w:spacing w:val="10"/>
          <w:sz w:val="26"/>
          <w:szCs w:val="26"/>
        </w:rPr>
        <w:t>Gilberto Kassab</w:t>
      </w:r>
    </w:p>
    <w:p w14:paraId="4AAD8C5F" w14:textId="77777777" w:rsidR="00DD0FC4" w:rsidRDefault="00DD0FC4" w:rsidP="00A733A0">
      <w:pPr>
        <w:spacing w:after="165"/>
        <w:rPr>
          <w:bCs/>
          <w:spacing w:val="10"/>
          <w:sz w:val="26"/>
          <w:szCs w:val="26"/>
        </w:rPr>
      </w:pPr>
      <w:r w:rsidRPr="00DD0FC4">
        <w:rPr>
          <w:bCs/>
          <w:spacing w:val="10"/>
          <w:sz w:val="26"/>
          <w:szCs w:val="26"/>
        </w:rPr>
        <w:t>Secretário de Governo e Relações Institucionais </w:t>
      </w:r>
    </w:p>
    <w:p w14:paraId="086A0288" w14:textId="77777777" w:rsidR="00832298" w:rsidRPr="007D45D4" w:rsidRDefault="00832298" w:rsidP="0083229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Arthur Luis Pinho de Lima</w:t>
      </w:r>
    </w:p>
    <w:p w14:paraId="65EFE369" w14:textId="77777777" w:rsidR="00832298" w:rsidRDefault="00832298" w:rsidP="00832298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p w14:paraId="2666E2B9" w14:textId="77777777" w:rsidR="00DD0FC4" w:rsidRPr="00DD794C" w:rsidRDefault="00DD0FC4" w:rsidP="00A843E3">
      <w:pPr>
        <w:spacing w:line="360" w:lineRule="atLeast"/>
        <w:jc w:val="center"/>
        <w:rPr>
          <w:b/>
          <w:spacing w:val="10"/>
          <w:sz w:val="26"/>
          <w:szCs w:val="26"/>
        </w:rPr>
      </w:pPr>
    </w:p>
    <w:p w14:paraId="2E34E8B6" w14:textId="0D771C73" w:rsidR="003C5929" w:rsidRPr="00FD78EC" w:rsidRDefault="003C5929" w:rsidP="00FD78EC"/>
    <w:sectPr w:rsidR="003C5929" w:rsidRPr="00FD78EC" w:rsidSect="009D7440">
      <w:headerReference w:type="default" r:id="rId10"/>
      <w:headerReference w:type="first" r:id="rId11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8C4F" w14:textId="77777777" w:rsidR="00A33B47" w:rsidRDefault="00A33B47">
      <w:r>
        <w:separator/>
      </w:r>
    </w:p>
  </w:endnote>
  <w:endnote w:type="continuationSeparator" w:id="0">
    <w:p w14:paraId="68ADDB2C" w14:textId="77777777" w:rsidR="00A33B47" w:rsidRDefault="00A33B47">
      <w:r>
        <w:continuationSeparator/>
      </w:r>
    </w:p>
  </w:endnote>
  <w:endnote w:type="continuationNotice" w:id="1">
    <w:p w14:paraId="47CA46F1" w14:textId="77777777" w:rsidR="00A33B47" w:rsidRDefault="00A33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7B51" w14:textId="77777777" w:rsidR="00A33B47" w:rsidRDefault="00A33B47">
      <w:r>
        <w:separator/>
      </w:r>
    </w:p>
  </w:footnote>
  <w:footnote w:type="continuationSeparator" w:id="0">
    <w:p w14:paraId="6B852E98" w14:textId="77777777" w:rsidR="00A33B47" w:rsidRDefault="00A33B47">
      <w:r>
        <w:continuationSeparator/>
      </w:r>
    </w:p>
  </w:footnote>
  <w:footnote w:type="continuationNotice" w:id="1">
    <w:p w14:paraId="5680F1BD" w14:textId="77777777" w:rsidR="00A33B47" w:rsidRDefault="00A33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402"/>
      <w:gridCol w:w="5443"/>
    </w:tblGrid>
    <w:tr w:rsidR="00440623" w:rsidRPr="00A844D8" w14:paraId="709BC27D" w14:textId="77777777" w:rsidTr="00440623">
      <w:trPr>
        <w:cantSplit/>
      </w:trPr>
      <w:tc>
        <w:tcPr>
          <w:tcW w:w="3402" w:type="dxa"/>
        </w:tcPr>
        <w:p w14:paraId="64A609D4" w14:textId="6BBC1D4E" w:rsidR="00440623" w:rsidRPr="00A844D8" w:rsidRDefault="00BD4D43" w:rsidP="00440623">
          <w:pPr>
            <w:tabs>
              <w:tab w:val="left" w:pos="2835"/>
              <w:tab w:val="left" w:pos="7428"/>
            </w:tabs>
            <w:spacing w:line="360" w:lineRule="atLeast"/>
            <w:ind w:left="567"/>
            <w:jc w:val="both"/>
            <w:rPr>
              <w:rFonts w:ascii="MS Serif" w:hAnsi="MS Serif"/>
              <w:b/>
            </w:rPr>
          </w:pPr>
          <w:r>
            <w:rPr>
              <w:rFonts w:ascii="MS Serif" w:hAnsi="MS Serif"/>
              <w:b/>
              <w:noProof/>
            </w:rPr>
            <w:drawing>
              <wp:inline distT="0" distB="0" distL="0" distR="0" wp14:anchorId="64187324" wp14:editId="164838EA">
                <wp:extent cx="724535" cy="72453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D3EEF1" w14:textId="77777777" w:rsidR="00440623" w:rsidRPr="00A844D8" w:rsidRDefault="00440623" w:rsidP="00440623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>GABINETE DO GOVERNADOR</w:t>
          </w:r>
        </w:p>
        <w:p w14:paraId="6D828716" w14:textId="77777777" w:rsidR="00440623" w:rsidRPr="00A844D8" w:rsidRDefault="00440623" w:rsidP="00440623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 xml:space="preserve">                       DO</w:t>
          </w:r>
        </w:p>
        <w:p w14:paraId="43855AA4" w14:textId="77777777" w:rsidR="00440623" w:rsidRPr="00A844D8" w:rsidRDefault="00440623" w:rsidP="00440623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 xml:space="preserve">    ESTADO DE SÃO PAULO</w:t>
          </w:r>
        </w:p>
        <w:p w14:paraId="6DF324F6" w14:textId="77777777" w:rsidR="00440623" w:rsidRPr="00A844D8" w:rsidRDefault="00440623" w:rsidP="00440623">
          <w:pPr>
            <w:pStyle w:val="Cabealho"/>
            <w:jc w:val="both"/>
            <w:rPr>
              <w:b/>
            </w:rPr>
          </w:pPr>
        </w:p>
      </w:tc>
      <w:tc>
        <w:tcPr>
          <w:tcW w:w="5443" w:type="dxa"/>
        </w:tcPr>
        <w:p w14:paraId="23DDD3FA" w14:textId="77777777" w:rsidR="00440623" w:rsidRPr="00A844D8" w:rsidRDefault="00440623" w:rsidP="00440623">
          <w:pPr>
            <w:pStyle w:val="Cabealho"/>
            <w:jc w:val="both"/>
            <w:rPr>
              <w:b/>
            </w:rPr>
          </w:pPr>
        </w:p>
        <w:p w14:paraId="1019D2CC" w14:textId="77777777" w:rsidR="00440623" w:rsidRPr="00A844D8" w:rsidRDefault="00440623" w:rsidP="00440623">
          <w:pPr>
            <w:pStyle w:val="Cabealho"/>
            <w:jc w:val="both"/>
            <w:rPr>
              <w:b/>
            </w:rPr>
          </w:pPr>
        </w:p>
        <w:p w14:paraId="49B89FB2" w14:textId="77777777" w:rsidR="00440623" w:rsidRDefault="00440623" w:rsidP="00440623">
          <w:pPr>
            <w:pStyle w:val="Cabealho"/>
            <w:jc w:val="both"/>
            <w:rPr>
              <w:b/>
            </w:rPr>
          </w:pPr>
        </w:p>
        <w:p w14:paraId="4AD3435C" w14:textId="77777777" w:rsidR="00B30457" w:rsidRDefault="00B30457" w:rsidP="00440623">
          <w:pPr>
            <w:pStyle w:val="Cabealho"/>
            <w:jc w:val="both"/>
            <w:rPr>
              <w:b/>
            </w:rPr>
          </w:pPr>
        </w:p>
        <w:p w14:paraId="25CBF624" w14:textId="77777777" w:rsidR="000670DC" w:rsidRPr="00B30457" w:rsidRDefault="00B30457" w:rsidP="000670DC">
          <w:pPr>
            <w:pStyle w:val="Cabealho"/>
            <w:jc w:val="center"/>
            <w:rPr>
              <w:b/>
              <w:bCs/>
              <w:sz w:val="26"/>
              <w:szCs w:val="28"/>
            </w:rPr>
          </w:pPr>
          <w:r w:rsidRPr="00B30457">
            <w:rPr>
              <w:b/>
              <w:bCs/>
              <w:sz w:val="26"/>
              <w:szCs w:val="28"/>
            </w:rPr>
            <w:t>-</w:t>
          </w:r>
          <w:r w:rsidR="000670DC" w:rsidRPr="00B30457">
            <w:rPr>
              <w:b/>
              <w:bCs/>
              <w:sz w:val="26"/>
              <w:szCs w:val="28"/>
            </w:rPr>
            <w:t xml:space="preserve"> </w:t>
          </w:r>
          <w:r w:rsidR="000670DC" w:rsidRPr="00B30457">
            <w:rPr>
              <w:b/>
              <w:bCs/>
              <w:sz w:val="26"/>
              <w:szCs w:val="22"/>
            </w:rPr>
            <w:fldChar w:fldCharType="begin"/>
          </w:r>
          <w:r w:rsidR="000670DC" w:rsidRPr="00B30457">
            <w:rPr>
              <w:b/>
              <w:bCs/>
              <w:sz w:val="26"/>
            </w:rPr>
            <w:instrText>PAGE    \* MERGEFORMAT</w:instrText>
          </w:r>
          <w:r w:rsidR="000670DC" w:rsidRPr="00B30457">
            <w:rPr>
              <w:b/>
              <w:bCs/>
              <w:sz w:val="26"/>
              <w:szCs w:val="22"/>
            </w:rPr>
            <w:fldChar w:fldCharType="separate"/>
          </w:r>
          <w:r w:rsidR="000670DC" w:rsidRPr="00B30457">
            <w:rPr>
              <w:b/>
              <w:bCs/>
              <w:sz w:val="26"/>
              <w:szCs w:val="22"/>
            </w:rPr>
            <w:t>1</w:t>
          </w:r>
          <w:r w:rsidR="000670DC" w:rsidRPr="00B30457">
            <w:rPr>
              <w:b/>
              <w:bCs/>
              <w:sz w:val="26"/>
              <w:szCs w:val="28"/>
            </w:rPr>
            <w:fldChar w:fldCharType="end"/>
          </w:r>
          <w:r w:rsidRPr="00B30457">
            <w:rPr>
              <w:b/>
              <w:bCs/>
              <w:sz w:val="26"/>
              <w:szCs w:val="28"/>
            </w:rPr>
            <w:t xml:space="preserve"> -</w:t>
          </w:r>
        </w:p>
        <w:p w14:paraId="1CAE9521" w14:textId="77777777" w:rsidR="00440623" w:rsidRPr="00A844D8" w:rsidRDefault="00440623" w:rsidP="00440623">
          <w:pPr>
            <w:pStyle w:val="Cabealho"/>
            <w:jc w:val="both"/>
            <w:rPr>
              <w:b/>
            </w:rPr>
          </w:pPr>
        </w:p>
      </w:tc>
    </w:tr>
  </w:tbl>
  <w:p w14:paraId="22813BC2" w14:textId="77777777" w:rsidR="00440623" w:rsidRPr="00A844D8" w:rsidRDefault="00440623" w:rsidP="00440623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402"/>
      <w:gridCol w:w="5443"/>
    </w:tblGrid>
    <w:tr w:rsidR="000670DC" w:rsidRPr="00A844D8" w14:paraId="314AAF3F" w14:textId="77777777" w:rsidTr="003A4E06">
      <w:trPr>
        <w:cantSplit/>
      </w:trPr>
      <w:tc>
        <w:tcPr>
          <w:tcW w:w="3402" w:type="dxa"/>
        </w:tcPr>
        <w:p w14:paraId="3590590D" w14:textId="47D02F6B" w:rsidR="000670DC" w:rsidRPr="00A844D8" w:rsidRDefault="00BD4D43" w:rsidP="000670DC">
          <w:pPr>
            <w:tabs>
              <w:tab w:val="left" w:pos="2835"/>
              <w:tab w:val="left" w:pos="7428"/>
            </w:tabs>
            <w:spacing w:line="360" w:lineRule="atLeast"/>
            <w:ind w:left="567"/>
            <w:jc w:val="both"/>
            <w:rPr>
              <w:rFonts w:ascii="MS Serif" w:hAnsi="MS Serif"/>
              <w:b/>
            </w:rPr>
          </w:pPr>
          <w:r>
            <w:rPr>
              <w:rFonts w:ascii="MS Serif" w:hAnsi="MS Serif"/>
              <w:b/>
              <w:noProof/>
            </w:rPr>
            <w:drawing>
              <wp:inline distT="0" distB="0" distL="0" distR="0" wp14:anchorId="4D08C272" wp14:editId="2294F6E3">
                <wp:extent cx="724535" cy="72453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50A2E" w14:textId="77777777" w:rsidR="000670DC" w:rsidRPr="00A844D8" w:rsidRDefault="000670DC" w:rsidP="000670DC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>GABINETE DO GOVERNADOR</w:t>
          </w:r>
        </w:p>
        <w:p w14:paraId="25548B56" w14:textId="77777777" w:rsidR="000670DC" w:rsidRPr="00A844D8" w:rsidRDefault="000670DC" w:rsidP="000670DC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 xml:space="preserve">                       DO</w:t>
          </w:r>
        </w:p>
        <w:p w14:paraId="37722933" w14:textId="77777777" w:rsidR="000670DC" w:rsidRPr="00A844D8" w:rsidRDefault="000670DC" w:rsidP="000670DC">
          <w:pPr>
            <w:tabs>
              <w:tab w:val="left" w:pos="2835"/>
              <w:tab w:val="left" w:pos="7428"/>
            </w:tabs>
            <w:jc w:val="both"/>
            <w:rPr>
              <w:b/>
              <w:sz w:val="16"/>
            </w:rPr>
          </w:pPr>
          <w:r w:rsidRPr="00A844D8">
            <w:rPr>
              <w:b/>
              <w:sz w:val="16"/>
            </w:rPr>
            <w:t xml:space="preserve">    ESTADO DE SÃO PAULO</w:t>
          </w:r>
        </w:p>
        <w:p w14:paraId="31A363E4" w14:textId="77777777" w:rsidR="000670DC" w:rsidRPr="00A844D8" w:rsidRDefault="000670DC" w:rsidP="000670DC">
          <w:pPr>
            <w:pStyle w:val="Cabealho"/>
            <w:jc w:val="both"/>
            <w:rPr>
              <w:b/>
            </w:rPr>
          </w:pPr>
        </w:p>
      </w:tc>
      <w:tc>
        <w:tcPr>
          <w:tcW w:w="5443" w:type="dxa"/>
        </w:tcPr>
        <w:p w14:paraId="643BFDEA" w14:textId="77777777" w:rsidR="000670DC" w:rsidRPr="00A844D8" w:rsidRDefault="000670DC" w:rsidP="000670DC">
          <w:pPr>
            <w:pStyle w:val="Cabealho"/>
            <w:jc w:val="both"/>
            <w:rPr>
              <w:b/>
            </w:rPr>
          </w:pPr>
        </w:p>
        <w:p w14:paraId="6C88DCE9" w14:textId="77777777" w:rsidR="000670DC" w:rsidRPr="00A844D8" w:rsidRDefault="000670DC" w:rsidP="000670DC">
          <w:pPr>
            <w:pStyle w:val="Cabealho"/>
            <w:jc w:val="both"/>
            <w:rPr>
              <w:b/>
            </w:rPr>
          </w:pPr>
        </w:p>
        <w:p w14:paraId="598FCDDB" w14:textId="77777777" w:rsidR="000670DC" w:rsidRPr="00A844D8" w:rsidRDefault="000670DC" w:rsidP="000670DC">
          <w:pPr>
            <w:pStyle w:val="Cabealho"/>
            <w:jc w:val="both"/>
            <w:rPr>
              <w:b/>
            </w:rPr>
          </w:pPr>
        </w:p>
        <w:p w14:paraId="7CD92418" w14:textId="77777777" w:rsidR="000670DC" w:rsidRPr="00A844D8" w:rsidRDefault="000670DC" w:rsidP="000670DC">
          <w:pPr>
            <w:pStyle w:val="Cabealho"/>
            <w:jc w:val="center"/>
            <w:rPr>
              <w:b/>
            </w:rPr>
          </w:pPr>
        </w:p>
      </w:tc>
    </w:tr>
  </w:tbl>
  <w:p w14:paraId="1931C78D" w14:textId="77777777" w:rsidR="000670DC" w:rsidRPr="000670DC" w:rsidRDefault="000670DC" w:rsidP="00067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A3C"/>
    <w:multiLevelType w:val="hybridMultilevel"/>
    <w:tmpl w:val="04BC047C"/>
    <w:lvl w:ilvl="0" w:tplc="D610D32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D6758C2"/>
    <w:multiLevelType w:val="hybridMultilevel"/>
    <w:tmpl w:val="0E62145A"/>
    <w:lvl w:ilvl="0" w:tplc="DBDE7558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75571A7"/>
    <w:multiLevelType w:val="hybridMultilevel"/>
    <w:tmpl w:val="2E6A0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E1545"/>
    <w:multiLevelType w:val="hybridMultilevel"/>
    <w:tmpl w:val="1C043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B0C"/>
    <w:multiLevelType w:val="hybridMultilevel"/>
    <w:tmpl w:val="F3467502"/>
    <w:lvl w:ilvl="0" w:tplc="3DB23C5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4661"/>
    <w:multiLevelType w:val="hybridMultilevel"/>
    <w:tmpl w:val="0854CF04"/>
    <w:lvl w:ilvl="0" w:tplc="73A4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5463">
    <w:abstractNumId w:val="4"/>
  </w:num>
  <w:num w:numId="2" w16cid:durableId="121196166">
    <w:abstractNumId w:val="5"/>
  </w:num>
  <w:num w:numId="3" w16cid:durableId="780494936">
    <w:abstractNumId w:val="2"/>
  </w:num>
  <w:num w:numId="4" w16cid:durableId="1236889530">
    <w:abstractNumId w:val="1"/>
  </w:num>
  <w:num w:numId="5" w16cid:durableId="1954440806">
    <w:abstractNumId w:val="0"/>
  </w:num>
  <w:num w:numId="6" w16cid:durableId="47706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3EDC"/>
    <w:rsid w:val="00005D09"/>
    <w:rsid w:val="00023EC8"/>
    <w:rsid w:val="0003333B"/>
    <w:rsid w:val="000453BF"/>
    <w:rsid w:val="00065EDC"/>
    <w:rsid w:val="000670DC"/>
    <w:rsid w:val="0007566B"/>
    <w:rsid w:val="00075F45"/>
    <w:rsid w:val="00092517"/>
    <w:rsid w:val="000931CE"/>
    <w:rsid w:val="000A046C"/>
    <w:rsid w:val="000A667D"/>
    <w:rsid w:val="000B1140"/>
    <w:rsid w:val="000B1DA4"/>
    <w:rsid w:val="000D5EA5"/>
    <w:rsid w:val="000E72AE"/>
    <w:rsid w:val="000F7E83"/>
    <w:rsid w:val="00101178"/>
    <w:rsid w:val="00112C91"/>
    <w:rsid w:val="00131732"/>
    <w:rsid w:val="00136443"/>
    <w:rsid w:val="001411AB"/>
    <w:rsid w:val="00151F84"/>
    <w:rsid w:val="00181AE0"/>
    <w:rsid w:val="001A0908"/>
    <w:rsid w:val="001A4B70"/>
    <w:rsid w:val="001B2822"/>
    <w:rsid w:val="001C551A"/>
    <w:rsid w:val="001D37DD"/>
    <w:rsid w:val="001F2E03"/>
    <w:rsid w:val="002104E7"/>
    <w:rsid w:val="00214084"/>
    <w:rsid w:val="002820EC"/>
    <w:rsid w:val="0028560B"/>
    <w:rsid w:val="002A3AD1"/>
    <w:rsid w:val="002B070B"/>
    <w:rsid w:val="002D75AD"/>
    <w:rsid w:val="00323214"/>
    <w:rsid w:val="003267F7"/>
    <w:rsid w:val="00330CB9"/>
    <w:rsid w:val="00333FFC"/>
    <w:rsid w:val="00342E92"/>
    <w:rsid w:val="00345BBA"/>
    <w:rsid w:val="00351188"/>
    <w:rsid w:val="0035540A"/>
    <w:rsid w:val="0038039D"/>
    <w:rsid w:val="003A4E06"/>
    <w:rsid w:val="003C5929"/>
    <w:rsid w:val="003D7E4B"/>
    <w:rsid w:val="003F4456"/>
    <w:rsid w:val="00413CBF"/>
    <w:rsid w:val="00414400"/>
    <w:rsid w:val="00420D4A"/>
    <w:rsid w:val="00424B05"/>
    <w:rsid w:val="00440623"/>
    <w:rsid w:val="00453AEB"/>
    <w:rsid w:val="00460C4C"/>
    <w:rsid w:val="00470322"/>
    <w:rsid w:val="00491569"/>
    <w:rsid w:val="004954B3"/>
    <w:rsid w:val="004C481A"/>
    <w:rsid w:val="004D0AB5"/>
    <w:rsid w:val="004E0D2A"/>
    <w:rsid w:val="004E39B8"/>
    <w:rsid w:val="004E4DB6"/>
    <w:rsid w:val="00500697"/>
    <w:rsid w:val="0052685D"/>
    <w:rsid w:val="005304A8"/>
    <w:rsid w:val="00542376"/>
    <w:rsid w:val="005769FE"/>
    <w:rsid w:val="00582852"/>
    <w:rsid w:val="00585F10"/>
    <w:rsid w:val="0059576C"/>
    <w:rsid w:val="005C220E"/>
    <w:rsid w:val="005D6CE5"/>
    <w:rsid w:val="005E053E"/>
    <w:rsid w:val="005E51CA"/>
    <w:rsid w:val="00616FBE"/>
    <w:rsid w:val="00617C44"/>
    <w:rsid w:val="006214C9"/>
    <w:rsid w:val="006322A2"/>
    <w:rsid w:val="006501D6"/>
    <w:rsid w:val="0065026C"/>
    <w:rsid w:val="00650F43"/>
    <w:rsid w:val="00654771"/>
    <w:rsid w:val="00666908"/>
    <w:rsid w:val="00673AF1"/>
    <w:rsid w:val="00677BEC"/>
    <w:rsid w:val="00693E54"/>
    <w:rsid w:val="00694292"/>
    <w:rsid w:val="006D1458"/>
    <w:rsid w:val="006E1845"/>
    <w:rsid w:val="007043C5"/>
    <w:rsid w:val="00716615"/>
    <w:rsid w:val="0071734E"/>
    <w:rsid w:val="007359E2"/>
    <w:rsid w:val="007451E6"/>
    <w:rsid w:val="007719B2"/>
    <w:rsid w:val="0077282C"/>
    <w:rsid w:val="007746D7"/>
    <w:rsid w:val="00787B99"/>
    <w:rsid w:val="00792717"/>
    <w:rsid w:val="00795C31"/>
    <w:rsid w:val="007D4577"/>
    <w:rsid w:val="007D7023"/>
    <w:rsid w:val="007E0ACB"/>
    <w:rsid w:val="00807DE6"/>
    <w:rsid w:val="00832298"/>
    <w:rsid w:val="00833251"/>
    <w:rsid w:val="00837203"/>
    <w:rsid w:val="00846169"/>
    <w:rsid w:val="00852FA3"/>
    <w:rsid w:val="008656B1"/>
    <w:rsid w:val="00896BAF"/>
    <w:rsid w:val="008B6D32"/>
    <w:rsid w:val="008C1B74"/>
    <w:rsid w:val="008C7105"/>
    <w:rsid w:val="008D4D0E"/>
    <w:rsid w:val="008F1994"/>
    <w:rsid w:val="009414A5"/>
    <w:rsid w:val="00944458"/>
    <w:rsid w:val="009469E3"/>
    <w:rsid w:val="00952D49"/>
    <w:rsid w:val="00972BAE"/>
    <w:rsid w:val="009732E0"/>
    <w:rsid w:val="00973416"/>
    <w:rsid w:val="009863A6"/>
    <w:rsid w:val="009C03C9"/>
    <w:rsid w:val="009C7DD5"/>
    <w:rsid w:val="009D7440"/>
    <w:rsid w:val="00A200A7"/>
    <w:rsid w:val="00A33B47"/>
    <w:rsid w:val="00A64D82"/>
    <w:rsid w:val="00A733A0"/>
    <w:rsid w:val="00A74996"/>
    <w:rsid w:val="00A81BE2"/>
    <w:rsid w:val="00A825B7"/>
    <w:rsid w:val="00A843E3"/>
    <w:rsid w:val="00A844D8"/>
    <w:rsid w:val="00A975C9"/>
    <w:rsid w:val="00AD19E6"/>
    <w:rsid w:val="00B068D4"/>
    <w:rsid w:val="00B30457"/>
    <w:rsid w:val="00B34A92"/>
    <w:rsid w:val="00B43FDA"/>
    <w:rsid w:val="00B54E72"/>
    <w:rsid w:val="00B54EB3"/>
    <w:rsid w:val="00B552A5"/>
    <w:rsid w:val="00B65627"/>
    <w:rsid w:val="00B66A1A"/>
    <w:rsid w:val="00B84CE2"/>
    <w:rsid w:val="00BA0EC5"/>
    <w:rsid w:val="00BA2452"/>
    <w:rsid w:val="00BD4D43"/>
    <w:rsid w:val="00BE52AE"/>
    <w:rsid w:val="00BF3330"/>
    <w:rsid w:val="00BF3F0D"/>
    <w:rsid w:val="00C01229"/>
    <w:rsid w:val="00C05EFF"/>
    <w:rsid w:val="00C15BB3"/>
    <w:rsid w:val="00C365B9"/>
    <w:rsid w:val="00C43267"/>
    <w:rsid w:val="00C435D7"/>
    <w:rsid w:val="00C43950"/>
    <w:rsid w:val="00C67C7A"/>
    <w:rsid w:val="00C734BC"/>
    <w:rsid w:val="00C85650"/>
    <w:rsid w:val="00C924E3"/>
    <w:rsid w:val="00CA6F42"/>
    <w:rsid w:val="00CB75A2"/>
    <w:rsid w:val="00CC3406"/>
    <w:rsid w:val="00CF0388"/>
    <w:rsid w:val="00CF3B69"/>
    <w:rsid w:val="00CF7F62"/>
    <w:rsid w:val="00D02924"/>
    <w:rsid w:val="00D12311"/>
    <w:rsid w:val="00D35643"/>
    <w:rsid w:val="00D53351"/>
    <w:rsid w:val="00D644D2"/>
    <w:rsid w:val="00D71C3C"/>
    <w:rsid w:val="00D86BB3"/>
    <w:rsid w:val="00DA0E42"/>
    <w:rsid w:val="00DC7125"/>
    <w:rsid w:val="00DD0FC4"/>
    <w:rsid w:val="00DE77DE"/>
    <w:rsid w:val="00E43D89"/>
    <w:rsid w:val="00E729D9"/>
    <w:rsid w:val="00E9365E"/>
    <w:rsid w:val="00E93BC9"/>
    <w:rsid w:val="00E97CD0"/>
    <w:rsid w:val="00EA6D22"/>
    <w:rsid w:val="00EB6B6D"/>
    <w:rsid w:val="00EC0485"/>
    <w:rsid w:val="00EC35C3"/>
    <w:rsid w:val="00ED47B2"/>
    <w:rsid w:val="00ED4AF3"/>
    <w:rsid w:val="00ED6986"/>
    <w:rsid w:val="00EE2B40"/>
    <w:rsid w:val="00EF1C8D"/>
    <w:rsid w:val="00F16214"/>
    <w:rsid w:val="00F16806"/>
    <w:rsid w:val="00F243C9"/>
    <w:rsid w:val="00F24507"/>
    <w:rsid w:val="00F3340F"/>
    <w:rsid w:val="00F341E4"/>
    <w:rsid w:val="00F3745A"/>
    <w:rsid w:val="00F463FA"/>
    <w:rsid w:val="00F77510"/>
    <w:rsid w:val="00FA06DD"/>
    <w:rsid w:val="00FA4007"/>
    <w:rsid w:val="00FD4836"/>
    <w:rsid w:val="00FD78EC"/>
    <w:rsid w:val="00FE68A9"/>
    <w:rsid w:val="060B6D24"/>
    <w:rsid w:val="0ADAB783"/>
    <w:rsid w:val="16995064"/>
    <w:rsid w:val="1CBDCEDB"/>
    <w:rsid w:val="6C5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72454"/>
  <w15:chartTrackingRefBased/>
  <w15:docId w15:val="{7C57B6B6-33A4-46AC-B545-E399925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uiPriority w:val="39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numbering" w:customStyle="1" w:styleId="Semlista1">
    <w:name w:val="Sem lista1"/>
    <w:next w:val="Semlista"/>
    <w:uiPriority w:val="99"/>
    <w:semiHidden/>
    <w:unhideWhenUsed/>
    <w:rsid w:val="00D02924"/>
  </w:style>
  <w:style w:type="paragraph" w:styleId="Textodebalo">
    <w:name w:val="Balloon Text"/>
    <w:basedOn w:val="Normal"/>
    <w:link w:val="TextodebaloChar"/>
    <w:uiPriority w:val="99"/>
    <w:unhideWhenUsed/>
    <w:rsid w:val="00D029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D029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D02924"/>
  </w:style>
  <w:style w:type="paragraph" w:styleId="Textodenotaderodap">
    <w:name w:val="footnote text"/>
    <w:basedOn w:val="Normal"/>
    <w:link w:val="TextodenotaderodapChar"/>
    <w:uiPriority w:val="99"/>
    <w:unhideWhenUsed/>
    <w:rsid w:val="00D0292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2924"/>
  </w:style>
  <w:style w:type="character" w:styleId="Refdenotaderodap">
    <w:name w:val="footnote reference"/>
    <w:uiPriority w:val="99"/>
    <w:unhideWhenUsed/>
    <w:rsid w:val="00D0292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6CE5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B3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49C705-8F2E-4935-B3F7-27F89D67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C8B5B-260B-4F1B-8285-B837CECB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64F8B-8915-44A4-9768-39F3C8186256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1508</Characters>
  <Application>Microsoft Office Word</Application>
  <DocSecurity>0</DocSecurity>
  <Lines>12</Lines>
  <Paragraphs>3</Paragraphs>
  <ScaleCrop>false</ScaleCrop>
  <Company>DataEasy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2</cp:revision>
  <cp:lastPrinted>1900-01-01T14:00:00Z</cp:lastPrinted>
  <dcterms:created xsi:type="dcterms:W3CDTF">2025-04-22T20:43:00Z</dcterms:created>
  <dcterms:modified xsi:type="dcterms:W3CDTF">2025-04-22T20:43:00Z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