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1CD88451" w:rsidR="000707CD" w:rsidRDefault="000707CD" w:rsidP="006D28F4">
      <w:pPr>
        <w:pStyle w:val="NormalWeb"/>
        <w:spacing w:before="0" w:beforeAutospacing="0" w:after="240" w:afterAutospacing="0" w:line="360" w:lineRule="atLeast"/>
        <w:jc w:val="center"/>
        <w:rPr>
          <w:b/>
          <w:color w:val="000000"/>
          <w:spacing w:val="10"/>
          <w:sz w:val="26"/>
          <w:szCs w:val="26"/>
        </w:rPr>
      </w:pPr>
      <w:bookmarkStart w:id="0" w:name="_Hlk133331013"/>
      <w:r>
        <w:rPr>
          <w:b/>
          <w:color w:val="000000"/>
          <w:spacing w:val="10"/>
          <w:sz w:val="26"/>
          <w:szCs w:val="26"/>
        </w:rPr>
        <w:t>Lei nº</w:t>
      </w:r>
      <w:r w:rsidR="009E5BE3">
        <w:rPr>
          <w:b/>
          <w:color w:val="000000"/>
          <w:spacing w:val="10"/>
          <w:sz w:val="26"/>
          <w:szCs w:val="26"/>
        </w:rPr>
        <w:t>18.175</w:t>
      </w:r>
      <w:r>
        <w:rPr>
          <w:b/>
          <w:color w:val="000000"/>
          <w:spacing w:val="10"/>
          <w:sz w:val="26"/>
          <w:szCs w:val="26"/>
        </w:rPr>
        <w:t xml:space="preserve">, de </w:t>
      </w:r>
      <w:r w:rsidR="009E5BE3">
        <w:rPr>
          <w:b/>
          <w:color w:val="000000"/>
          <w:spacing w:val="10"/>
          <w:sz w:val="26"/>
          <w:szCs w:val="26"/>
        </w:rPr>
        <w:t>08</w:t>
      </w:r>
      <w:r>
        <w:rPr>
          <w:b/>
          <w:color w:val="000000"/>
          <w:spacing w:val="10"/>
          <w:sz w:val="26"/>
          <w:szCs w:val="26"/>
        </w:rPr>
        <w:t xml:space="preserve"> de </w:t>
      </w:r>
      <w:r w:rsidR="009E5BE3">
        <w:rPr>
          <w:b/>
          <w:color w:val="000000"/>
          <w:spacing w:val="10"/>
          <w:sz w:val="26"/>
          <w:szCs w:val="26"/>
        </w:rPr>
        <w:t>julho</w:t>
      </w:r>
      <w:r>
        <w:rPr>
          <w:b/>
          <w:color w:val="000000"/>
          <w:spacing w:val="10"/>
          <w:sz w:val="26"/>
          <w:szCs w:val="26"/>
        </w:rPr>
        <w:t xml:space="preserve"> de 20</w:t>
      </w:r>
      <w:bookmarkEnd w:id="0"/>
      <w:r>
        <w:rPr>
          <w:b/>
          <w:color w:val="000000"/>
          <w:spacing w:val="10"/>
          <w:sz w:val="26"/>
          <w:szCs w:val="26"/>
        </w:rPr>
        <w:t>2</w:t>
      </w:r>
      <w:r w:rsidR="00A32C26">
        <w:rPr>
          <w:b/>
          <w:color w:val="000000"/>
          <w:spacing w:val="10"/>
          <w:sz w:val="26"/>
          <w:szCs w:val="26"/>
        </w:rPr>
        <w:t>5</w:t>
      </w:r>
    </w:p>
    <w:p w14:paraId="76ED0017" w14:textId="13E6371C" w:rsidR="000707CD" w:rsidRDefault="000707CD" w:rsidP="006D28F4">
      <w:pPr>
        <w:pStyle w:val="NormalWeb"/>
        <w:spacing w:before="0" w:beforeAutospacing="0" w:after="240" w:afterAutospacing="0" w:line="240" w:lineRule="atLeast"/>
        <w:ind w:left="2835" w:firstLine="851"/>
        <w:jc w:val="both"/>
        <w:rPr>
          <w:color w:val="000000"/>
          <w:spacing w:val="10"/>
          <w:sz w:val="26"/>
          <w:szCs w:val="26"/>
        </w:rPr>
      </w:pPr>
      <w:r>
        <w:rPr>
          <w:color w:val="000000"/>
          <w:spacing w:val="10"/>
          <w:sz w:val="26"/>
          <w:szCs w:val="26"/>
        </w:rPr>
        <w:t xml:space="preserve">(Projeto de lei nº </w:t>
      </w:r>
      <w:r w:rsidR="00757542">
        <w:rPr>
          <w:color w:val="000000"/>
          <w:spacing w:val="10"/>
          <w:sz w:val="26"/>
          <w:szCs w:val="26"/>
        </w:rPr>
        <w:t>145/2025</w:t>
      </w:r>
      <w:r>
        <w:rPr>
          <w:color w:val="000000"/>
          <w:spacing w:val="10"/>
          <w:sz w:val="26"/>
          <w:szCs w:val="26"/>
        </w:rPr>
        <w:t>, d</w:t>
      </w:r>
      <w:r w:rsidR="00E674AA">
        <w:rPr>
          <w:color w:val="000000"/>
          <w:spacing w:val="10"/>
          <w:sz w:val="26"/>
          <w:szCs w:val="26"/>
        </w:rPr>
        <w:t>os</w:t>
      </w:r>
      <w:r>
        <w:rPr>
          <w:color w:val="000000"/>
          <w:spacing w:val="10"/>
          <w:sz w:val="26"/>
          <w:szCs w:val="26"/>
        </w:rPr>
        <w:t xml:space="preserve"> Deputad</w:t>
      </w:r>
      <w:r w:rsidR="00E674AA">
        <w:rPr>
          <w:color w:val="000000"/>
          <w:spacing w:val="10"/>
          <w:sz w:val="26"/>
          <w:szCs w:val="26"/>
        </w:rPr>
        <w:t xml:space="preserve">os </w:t>
      </w:r>
      <w:r w:rsidR="00757542" w:rsidRPr="00757542">
        <w:rPr>
          <w:color w:val="000000"/>
          <w:spacing w:val="10"/>
          <w:sz w:val="26"/>
          <w:szCs w:val="26"/>
        </w:rPr>
        <w:t xml:space="preserve">Tomé </w:t>
      </w:r>
      <w:proofErr w:type="spellStart"/>
      <w:r w:rsidR="00757542" w:rsidRPr="00757542">
        <w:rPr>
          <w:color w:val="000000"/>
          <w:spacing w:val="10"/>
          <w:sz w:val="26"/>
          <w:szCs w:val="26"/>
        </w:rPr>
        <w:t>Abduch</w:t>
      </w:r>
      <w:proofErr w:type="spellEnd"/>
      <w:r w:rsidR="00757542" w:rsidRPr="00757542">
        <w:rPr>
          <w:color w:val="000000"/>
          <w:spacing w:val="10"/>
          <w:sz w:val="26"/>
          <w:szCs w:val="26"/>
        </w:rPr>
        <w:t xml:space="preserve"> – REPUBLICANOS, Carla Morando – PSDB, Itamar Borges – MDB, Lucas </w:t>
      </w:r>
      <w:proofErr w:type="spellStart"/>
      <w:r w:rsidR="00757542" w:rsidRPr="00757542">
        <w:rPr>
          <w:color w:val="000000"/>
          <w:spacing w:val="10"/>
          <w:sz w:val="26"/>
          <w:szCs w:val="26"/>
        </w:rPr>
        <w:t>Bove</w:t>
      </w:r>
      <w:proofErr w:type="spellEnd"/>
      <w:r w:rsidR="00757542" w:rsidRPr="00757542">
        <w:rPr>
          <w:color w:val="000000"/>
          <w:spacing w:val="10"/>
          <w:sz w:val="26"/>
          <w:szCs w:val="26"/>
        </w:rPr>
        <w:t xml:space="preserve"> – PL e Leonardo Siqueira – NOVO</w:t>
      </w:r>
      <w:r>
        <w:rPr>
          <w:color w:val="000000"/>
          <w:spacing w:val="10"/>
          <w:sz w:val="26"/>
          <w:szCs w:val="26"/>
        </w:rPr>
        <w:t>)</w:t>
      </w:r>
    </w:p>
    <w:p w14:paraId="60DD5FF7" w14:textId="2ABFE682" w:rsidR="000707CD" w:rsidRDefault="008E1BAF" w:rsidP="006D28F4">
      <w:pPr>
        <w:pStyle w:val="NormalWeb"/>
        <w:spacing w:before="0" w:beforeAutospacing="0" w:after="240" w:afterAutospacing="0" w:line="240" w:lineRule="exact"/>
        <w:ind w:left="2835" w:firstLine="851"/>
        <w:jc w:val="both"/>
        <w:rPr>
          <w:i/>
          <w:color w:val="000000"/>
          <w:spacing w:val="10"/>
          <w:sz w:val="26"/>
          <w:szCs w:val="26"/>
        </w:rPr>
      </w:pPr>
      <w:r w:rsidRPr="008E1BAF">
        <w:rPr>
          <w:i/>
          <w:color w:val="000000"/>
          <w:spacing w:val="10"/>
          <w:sz w:val="26"/>
          <w:szCs w:val="26"/>
        </w:rPr>
        <w:t>Estabelece regras para a fiscalização orientadora e o critério de dupla visita em atividades econômicas de baixo risco, no âmbito das relações de consumo</w:t>
      </w:r>
      <w:r w:rsidR="000707CD">
        <w:rPr>
          <w:i/>
          <w:color w:val="000000"/>
          <w:spacing w:val="10"/>
          <w:sz w:val="26"/>
          <w:szCs w:val="26"/>
        </w:rPr>
        <w:t>.</w:t>
      </w:r>
    </w:p>
    <w:p w14:paraId="365CACFE" w14:textId="77777777" w:rsidR="000707CD" w:rsidRDefault="000707CD" w:rsidP="006D28F4">
      <w:pPr>
        <w:pStyle w:val="NormalWeb"/>
        <w:spacing w:before="0" w:beforeAutospacing="0" w:after="240" w:afterAutospacing="0" w:line="360" w:lineRule="atLeast"/>
        <w:ind w:firstLine="2835"/>
        <w:jc w:val="both"/>
        <w:rPr>
          <w:b/>
          <w:color w:val="000000"/>
          <w:spacing w:val="10"/>
          <w:sz w:val="26"/>
          <w:szCs w:val="26"/>
        </w:rPr>
      </w:pPr>
      <w:r>
        <w:rPr>
          <w:b/>
          <w:color w:val="000000"/>
          <w:spacing w:val="10"/>
          <w:sz w:val="26"/>
          <w:szCs w:val="26"/>
        </w:rPr>
        <w:t>O GOVERNADOR DO ESTADO DE SÃO PAULO:</w:t>
      </w:r>
    </w:p>
    <w:p w14:paraId="78983D60" w14:textId="2A3FC6A6" w:rsidR="000707CD" w:rsidRDefault="000707CD" w:rsidP="00986F4C">
      <w:pPr>
        <w:pStyle w:val="NormalWeb"/>
        <w:spacing w:before="0" w:beforeAutospacing="0" w:after="240" w:afterAutospacing="0" w:line="360" w:lineRule="atLeast"/>
        <w:ind w:firstLine="2835"/>
        <w:jc w:val="both"/>
        <w:rPr>
          <w:b/>
          <w:color w:val="000000"/>
          <w:spacing w:val="10"/>
          <w:sz w:val="26"/>
          <w:szCs w:val="26"/>
        </w:rPr>
      </w:pPr>
      <w:r>
        <w:rPr>
          <w:b/>
          <w:color w:val="000000"/>
          <w:spacing w:val="10"/>
          <w:sz w:val="26"/>
          <w:szCs w:val="26"/>
        </w:rPr>
        <w:t>Faço saber que a Assembleia Legislativa decreta e eu promulgo a seguinte lei:</w:t>
      </w:r>
    </w:p>
    <w:p w14:paraId="6D7D5111" w14:textId="77777777" w:rsidR="0050012B" w:rsidRDefault="000707CD" w:rsidP="00986F4C">
      <w:pPr>
        <w:pStyle w:val="Autgrafo-corpo"/>
        <w:spacing w:after="240" w:line="360" w:lineRule="atLeast"/>
        <w:ind w:firstLine="2835"/>
        <w:rPr>
          <w:color w:val="000000"/>
          <w:spacing w:val="10"/>
          <w:sz w:val="26"/>
          <w:szCs w:val="26"/>
        </w:rPr>
      </w:pPr>
      <w:r>
        <w:rPr>
          <w:b/>
          <w:bCs/>
          <w:color w:val="000000"/>
          <w:spacing w:val="10"/>
          <w:sz w:val="26"/>
          <w:szCs w:val="26"/>
        </w:rPr>
        <w:t>Artigo 1º</w:t>
      </w:r>
      <w:r>
        <w:rPr>
          <w:color w:val="000000"/>
          <w:spacing w:val="10"/>
          <w:sz w:val="26"/>
          <w:szCs w:val="26"/>
        </w:rPr>
        <w:t xml:space="preserve"> - </w:t>
      </w:r>
      <w:r w:rsidR="0050012B" w:rsidRPr="0050012B">
        <w:rPr>
          <w:color w:val="000000"/>
          <w:spacing w:val="10"/>
          <w:sz w:val="26"/>
          <w:szCs w:val="26"/>
        </w:rPr>
        <w:t>Quando a atividade econômica for classificada como de baixo risco, nos termos da Lei nº 17.761, de 25 de setembro de 2023, e da Lei nº 17.832, de 1º de novembro de 2023, a fiscalização, no âmbito das relações de consumo, será de caráter orientador, observando-se o critério de dupla visita para a lavratura de autos de infração.</w:t>
      </w:r>
    </w:p>
    <w:p w14:paraId="7B9BDF00" w14:textId="587CE7AB"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 1º</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Para os fins do disposto nesta lei, serão consideradas como de baixo risco as atividades econômicas classificadas no “nível de risco I”, conforme regulamento do Poder Executivo, nos termos da Lei nº 17.761, de 25 de setembro de 2023.</w:t>
      </w:r>
    </w:p>
    <w:p w14:paraId="25C6FD82" w14:textId="49222B88" w:rsidR="0050012B" w:rsidRP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 2º</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Esta lei aplica-se à Fundação de Proteção e Defesa do Consumidor – PROCON e a outras autoridades estaduais competentes para a fiscalização das relações de consumo, referidas na Lei nº 17.832, de 1º de novembro de 2023, e em demais diplomas, sem prejuízo do disposto no artigo 6º desta lei.</w:t>
      </w:r>
    </w:p>
    <w:p w14:paraId="175AE4E3" w14:textId="207A692E"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Artigo 2º</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O critério de dupla visita para a fiscalização de atividades econômicas de baixo risco, no âmbito das relações de consumo, observará os seguintes procedimentos:</w:t>
      </w:r>
    </w:p>
    <w:p w14:paraId="150B8619" w14:textId="47E14518"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I</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verificada</w:t>
      </w:r>
      <w:proofErr w:type="gramEnd"/>
      <w:r w:rsidRPr="0050012B">
        <w:rPr>
          <w:color w:val="000000"/>
          <w:spacing w:val="10"/>
          <w:sz w:val="26"/>
          <w:szCs w:val="26"/>
        </w:rPr>
        <w:t xml:space="preserve"> hipótese de infração à legislação federal ou estadual, na primeira visita, será lavrado auto de constatação das irregularidades encontradas pelo agente fiscal, com recomendação para correção da conduta inadequada;</w:t>
      </w:r>
    </w:p>
    <w:p w14:paraId="7624384F" w14:textId="1E9AF6CF"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lastRenderedPageBreak/>
        <w:t>II</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a</w:t>
      </w:r>
      <w:proofErr w:type="gramEnd"/>
      <w:r w:rsidRPr="0050012B">
        <w:rPr>
          <w:color w:val="000000"/>
          <w:spacing w:val="10"/>
          <w:sz w:val="26"/>
          <w:szCs w:val="26"/>
        </w:rPr>
        <w:t xml:space="preserve"> segunda visita poderá ocorrer a qualquer tempo, observados os princípios da razoabilidade e proporcionalidade;</w:t>
      </w:r>
    </w:p>
    <w:p w14:paraId="6691169F" w14:textId="275EAE1D"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III</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na oportunidade da segunda visita, se não sanadas as irregularidades apontadas no auto de constatação da primeira visita, deverá ser lavrado auto de infração.</w:t>
      </w:r>
    </w:p>
    <w:p w14:paraId="671DCF90" w14:textId="65BBC817" w:rsidR="0050012B" w:rsidRP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Parágrafo único</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O critério da dupla visita não afasta a exigibilidade da imediata cessação da conduta irregular, quando possível.</w:t>
      </w:r>
    </w:p>
    <w:p w14:paraId="01BD864F" w14:textId="193FD2BB" w:rsidR="0050012B" w:rsidRDefault="0050012B" w:rsidP="00986F4C">
      <w:pPr>
        <w:pStyle w:val="Autgrafo-corpo"/>
        <w:spacing w:after="240" w:line="360" w:lineRule="atLeast"/>
        <w:ind w:firstLine="2835"/>
        <w:rPr>
          <w:color w:val="000000"/>
          <w:spacing w:val="10"/>
          <w:sz w:val="26"/>
          <w:szCs w:val="26"/>
        </w:rPr>
      </w:pPr>
      <w:r w:rsidRPr="00E246B7">
        <w:rPr>
          <w:b/>
          <w:bCs/>
          <w:color w:val="000000"/>
          <w:spacing w:val="10"/>
          <w:sz w:val="26"/>
          <w:szCs w:val="26"/>
        </w:rPr>
        <w:t>Artigo 3º</w:t>
      </w:r>
      <w:r w:rsidRPr="0050012B">
        <w:rPr>
          <w:color w:val="000000"/>
          <w:spacing w:val="10"/>
          <w:sz w:val="26"/>
          <w:szCs w:val="26"/>
        </w:rPr>
        <w:t xml:space="preserve"> </w:t>
      </w:r>
      <w:r w:rsidR="00E246B7">
        <w:rPr>
          <w:color w:val="000000"/>
          <w:spacing w:val="10"/>
          <w:sz w:val="26"/>
          <w:szCs w:val="26"/>
        </w:rPr>
        <w:t>-</w:t>
      </w:r>
      <w:r w:rsidRPr="0050012B">
        <w:rPr>
          <w:color w:val="000000"/>
          <w:spacing w:val="10"/>
          <w:sz w:val="26"/>
          <w:szCs w:val="26"/>
        </w:rPr>
        <w:t xml:space="preserve"> Não será observado o critério da dupla visita quando constatada conduta ou situação incompatível com a fiscalização orientadora, assim considerada aquela que:</w:t>
      </w:r>
    </w:p>
    <w:p w14:paraId="5ED64702" w14:textId="080EA12C" w:rsidR="0050012B" w:rsidRDefault="0050012B" w:rsidP="00986F4C">
      <w:pPr>
        <w:pStyle w:val="Autgrafo-corpo"/>
        <w:spacing w:after="240" w:line="360" w:lineRule="atLeast"/>
        <w:ind w:firstLine="2835"/>
        <w:rPr>
          <w:color w:val="000000"/>
          <w:spacing w:val="10"/>
          <w:sz w:val="26"/>
          <w:szCs w:val="26"/>
        </w:rPr>
      </w:pPr>
      <w:r w:rsidRPr="00B477BC">
        <w:rPr>
          <w:b/>
          <w:bCs/>
          <w:color w:val="000000"/>
          <w:spacing w:val="10"/>
          <w:sz w:val="26"/>
          <w:szCs w:val="26"/>
        </w:rPr>
        <w:t>I</w:t>
      </w:r>
      <w:r w:rsidRPr="0050012B">
        <w:rPr>
          <w:color w:val="000000"/>
          <w:spacing w:val="10"/>
          <w:sz w:val="26"/>
          <w:szCs w:val="26"/>
        </w:rPr>
        <w:t xml:space="preserve"> </w:t>
      </w:r>
      <w:r w:rsidR="00B477BC">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afete</w:t>
      </w:r>
      <w:proofErr w:type="gramEnd"/>
      <w:r w:rsidRPr="0050012B">
        <w:rPr>
          <w:color w:val="000000"/>
          <w:spacing w:val="10"/>
          <w:sz w:val="26"/>
          <w:szCs w:val="26"/>
        </w:rPr>
        <w:t xml:space="preserve"> a segurança ou a saúde do consumidor;</w:t>
      </w:r>
    </w:p>
    <w:p w14:paraId="5D6F0E6A" w14:textId="75DF9C4D" w:rsidR="0050012B" w:rsidRDefault="0050012B" w:rsidP="00986F4C">
      <w:pPr>
        <w:pStyle w:val="Autgrafo-corpo"/>
        <w:spacing w:after="240" w:line="360" w:lineRule="atLeast"/>
        <w:ind w:firstLine="2835"/>
        <w:rPr>
          <w:color w:val="000000"/>
          <w:spacing w:val="10"/>
          <w:sz w:val="26"/>
          <w:szCs w:val="26"/>
        </w:rPr>
      </w:pPr>
      <w:r w:rsidRPr="00A96A00">
        <w:rPr>
          <w:b/>
          <w:bCs/>
          <w:color w:val="000000"/>
          <w:spacing w:val="10"/>
          <w:sz w:val="26"/>
          <w:szCs w:val="26"/>
        </w:rPr>
        <w:t>II</w:t>
      </w:r>
      <w:r w:rsidRPr="0050012B">
        <w:rPr>
          <w:color w:val="000000"/>
          <w:spacing w:val="10"/>
          <w:sz w:val="26"/>
          <w:szCs w:val="26"/>
        </w:rPr>
        <w:t xml:space="preserve"> </w:t>
      </w:r>
      <w:r w:rsidR="00A96A00">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caracterize</w:t>
      </w:r>
      <w:proofErr w:type="gramEnd"/>
      <w:r w:rsidRPr="0050012B">
        <w:rPr>
          <w:color w:val="000000"/>
          <w:spacing w:val="10"/>
          <w:sz w:val="26"/>
          <w:szCs w:val="26"/>
        </w:rPr>
        <w:t xml:space="preserve"> reincidência, fraude, resistência ou embaraço à fiscalização, assim entendidas:</w:t>
      </w:r>
    </w:p>
    <w:p w14:paraId="0888DE90" w14:textId="77777777" w:rsidR="0050012B" w:rsidRDefault="0050012B" w:rsidP="00986F4C">
      <w:pPr>
        <w:pStyle w:val="Autgrafo-corpo"/>
        <w:spacing w:after="240" w:line="360" w:lineRule="atLeast"/>
        <w:ind w:firstLine="2835"/>
        <w:rPr>
          <w:color w:val="000000"/>
          <w:spacing w:val="10"/>
          <w:sz w:val="26"/>
          <w:szCs w:val="26"/>
        </w:rPr>
      </w:pPr>
      <w:r w:rsidRPr="00A96A00">
        <w:rPr>
          <w:b/>
          <w:bCs/>
          <w:color w:val="000000"/>
          <w:spacing w:val="10"/>
          <w:sz w:val="26"/>
          <w:szCs w:val="26"/>
        </w:rPr>
        <w:t>a)</w:t>
      </w:r>
      <w:r w:rsidRPr="0050012B">
        <w:rPr>
          <w:color w:val="000000"/>
          <w:spacing w:val="10"/>
          <w:sz w:val="26"/>
          <w:szCs w:val="26"/>
        </w:rPr>
        <w:t xml:space="preserve"> reincidência: a existência de aplicação de sanção anterior, por meio de decisão administrativa irrecorrível, nos 5 (cinco) anos anteriores à data da lavratura do auto de infração com mesmo fundamento legal;</w:t>
      </w:r>
    </w:p>
    <w:p w14:paraId="05CEFCED" w14:textId="77777777"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b)</w:t>
      </w:r>
      <w:r w:rsidRPr="0050012B">
        <w:rPr>
          <w:color w:val="000000"/>
          <w:spacing w:val="10"/>
          <w:sz w:val="26"/>
          <w:szCs w:val="26"/>
        </w:rPr>
        <w:t xml:space="preserve"> fraude: a prática intencional de ato que induza ou mantenha o consumidor em erro, tais como a adulteração, a desconformidade e a clonagem de produto, rotulagem ou datas de vencimento;</w:t>
      </w:r>
    </w:p>
    <w:p w14:paraId="70C9D5EE" w14:textId="77777777"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c)</w:t>
      </w:r>
      <w:r w:rsidRPr="0050012B">
        <w:rPr>
          <w:color w:val="000000"/>
          <w:spacing w:val="10"/>
          <w:sz w:val="26"/>
          <w:szCs w:val="26"/>
        </w:rPr>
        <w:t xml:space="preserve"> resistência ou embaraço à fiscalização: a tentativa de prática de qualquer ato que vise a impedir, dificultar, retardar, ludibriar ou causar tumulto ou prejuízo intencional à realização de diligência fiscalizatória;</w:t>
      </w:r>
    </w:p>
    <w:p w14:paraId="0A20F065" w14:textId="06E42D39"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III</w:t>
      </w:r>
      <w:r w:rsidRPr="0050012B">
        <w:rPr>
          <w:color w:val="000000"/>
          <w:spacing w:val="10"/>
          <w:sz w:val="26"/>
          <w:szCs w:val="26"/>
        </w:rPr>
        <w:t xml:space="preserve"> </w:t>
      </w:r>
      <w:r w:rsidR="005C660F">
        <w:rPr>
          <w:color w:val="000000"/>
          <w:spacing w:val="10"/>
          <w:sz w:val="26"/>
          <w:szCs w:val="26"/>
        </w:rPr>
        <w:t>-</w:t>
      </w:r>
      <w:r w:rsidRPr="0050012B">
        <w:rPr>
          <w:color w:val="000000"/>
          <w:spacing w:val="10"/>
          <w:sz w:val="26"/>
          <w:szCs w:val="26"/>
        </w:rPr>
        <w:t xml:space="preserve"> contrarie a Lei nº 13.541, de 7 de maio de 2009, que proíbe o consumo de cigarros, cigarrilhas, charutos, cachimbos ou de qualquer outro produto </w:t>
      </w:r>
      <w:proofErr w:type="spellStart"/>
      <w:r w:rsidRPr="0050012B">
        <w:rPr>
          <w:color w:val="000000"/>
          <w:spacing w:val="10"/>
          <w:sz w:val="26"/>
          <w:szCs w:val="26"/>
        </w:rPr>
        <w:t>fumígeno</w:t>
      </w:r>
      <w:proofErr w:type="spellEnd"/>
      <w:r w:rsidRPr="0050012B">
        <w:rPr>
          <w:color w:val="000000"/>
          <w:spacing w:val="10"/>
          <w:sz w:val="26"/>
          <w:szCs w:val="26"/>
        </w:rPr>
        <w:t>, derivado ou não do tabaco, na forma que especifica, ou a Lei nº 14.592, de 19 de outubro de 2011, que proíbe vender, ofertar, fornecer, entregar e permitir o consumo de bebida alcoólica, ainda que gratuitamente, aos menores de 18 (dezoito) anos de idade;</w:t>
      </w:r>
    </w:p>
    <w:p w14:paraId="2CB2F995" w14:textId="012BB77C"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IV</w:t>
      </w:r>
      <w:r w:rsidRPr="0050012B">
        <w:rPr>
          <w:color w:val="000000"/>
          <w:spacing w:val="10"/>
          <w:sz w:val="26"/>
          <w:szCs w:val="26"/>
        </w:rPr>
        <w:t xml:space="preserve"> </w:t>
      </w:r>
      <w:r w:rsidR="005C660F">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seja</w:t>
      </w:r>
      <w:proofErr w:type="gramEnd"/>
      <w:r w:rsidRPr="0050012B">
        <w:rPr>
          <w:color w:val="000000"/>
          <w:spacing w:val="10"/>
          <w:sz w:val="26"/>
          <w:szCs w:val="26"/>
        </w:rPr>
        <w:t xml:space="preserve"> praticada:</w:t>
      </w:r>
    </w:p>
    <w:p w14:paraId="691D8704" w14:textId="77777777"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a)</w:t>
      </w:r>
      <w:r w:rsidRPr="0050012B">
        <w:rPr>
          <w:color w:val="000000"/>
          <w:spacing w:val="10"/>
          <w:sz w:val="26"/>
          <w:szCs w:val="26"/>
        </w:rPr>
        <w:t xml:space="preserve"> em detrimento de pessoa menor de 18 (dezoito), maior de 60 (sessenta) anos ou com deficiência, interditada ou não; ou</w:t>
      </w:r>
    </w:p>
    <w:p w14:paraId="2CD1A601" w14:textId="77777777"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lastRenderedPageBreak/>
        <w:t>b)</w:t>
      </w:r>
      <w:r w:rsidRPr="0050012B">
        <w:rPr>
          <w:color w:val="000000"/>
          <w:spacing w:val="10"/>
          <w:sz w:val="26"/>
          <w:szCs w:val="26"/>
        </w:rPr>
        <w:t xml:space="preserve"> em razão da condição social ou econômica da pessoa, ou que tenha caráter discriminatório de qualquer natureza; ou</w:t>
      </w:r>
    </w:p>
    <w:p w14:paraId="01DA5061" w14:textId="77777777"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c)</w:t>
      </w:r>
      <w:r w:rsidRPr="0050012B">
        <w:rPr>
          <w:color w:val="000000"/>
          <w:spacing w:val="10"/>
          <w:sz w:val="26"/>
          <w:szCs w:val="26"/>
        </w:rPr>
        <w:t xml:space="preserve"> de modo constrangedor, intimidador, vexatório, ou, ainda, com restrição, distinção, exclusão ou preferência, que anule, limite ou dificulte o exercício de direitos relativos às relações de consumo;</w:t>
      </w:r>
    </w:p>
    <w:p w14:paraId="2F4A4ED0" w14:textId="545C0558" w:rsidR="0050012B" w:rsidRDefault="0050012B" w:rsidP="00986F4C">
      <w:pPr>
        <w:pStyle w:val="Autgrafo-corpo"/>
        <w:spacing w:after="240" w:line="360" w:lineRule="atLeast"/>
        <w:ind w:firstLine="2835"/>
        <w:rPr>
          <w:color w:val="000000"/>
          <w:spacing w:val="10"/>
          <w:sz w:val="26"/>
          <w:szCs w:val="26"/>
        </w:rPr>
      </w:pPr>
      <w:r w:rsidRPr="005C660F">
        <w:rPr>
          <w:b/>
          <w:bCs/>
          <w:color w:val="000000"/>
          <w:spacing w:val="10"/>
          <w:sz w:val="26"/>
          <w:szCs w:val="26"/>
        </w:rPr>
        <w:t>V</w:t>
      </w:r>
      <w:r w:rsidRPr="0050012B">
        <w:rPr>
          <w:color w:val="000000"/>
          <w:spacing w:val="10"/>
          <w:sz w:val="26"/>
          <w:szCs w:val="26"/>
        </w:rPr>
        <w:t xml:space="preserve"> </w:t>
      </w:r>
      <w:r w:rsidR="0088361B">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seja</w:t>
      </w:r>
      <w:proofErr w:type="gramEnd"/>
      <w:r w:rsidRPr="0050012B">
        <w:rPr>
          <w:color w:val="000000"/>
          <w:spacing w:val="10"/>
          <w:sz w:val="26"/>
          <w:szCs w:val="26"/>
        </w:rPr>
        <w:t xml:space="preserve"> incompatível com a fiscalização presencial;</w:t>
      </w:r>
    </w:p>
    <w:p w14:paraId="275C240E" w14:textId="5B00106A" w:rsidR="0088361B" w:rsidRPr="0050012B" w:rsidRDefault="0050012B" w:rsidP="00986F4C">
      <w:pPr>
        <w:pStyle w:val="Autgrafo-corpo"/>
        <w:spacing w:after="240" w:line="360" w:lineRule="atLeast"/>
        <w:ind w:firstLine="2835"/>
        <w:rPr>
          <w:color w:val="000000"/>
          <w:spacing w:val="10"/>
          <w:sz w:val="26"/>
          <w:szCs w:val="26"/>
        </w:rPr>
      </w:pPr>
      <w:r w:rsidRPr="0088361B">
        <w:rPr>
          <w:b/>
          <w:bCs/>
          <w:color w:val="000000"/>
          <w:spacing w:val="10"/>
          <w:sz w:val="26"/>
          <w:szCs w:val="26"/>
        </w:rPr>
        <w:t>VI</w:t>
      </w:r>
      <w:r w:rsidRPr="0050012B">
        <w:rPr>
          <w:color w:val="000000"/>
          <w:spacing w:val="10"/>
          <w:sz w:val="26"/>
          <w:szCs w:val="26"/>
        </w:rPr>
        <w:t xml:space="preserve"> </w:t>
      </w:r>
      <w:r w:rsidR="0088361B">
        <w:rPr>
          <w:color w:val="000000"/>
          <w:spacing w:val="10"/>
          <w:sz w:val="26"/>
          <w:szCs w:val="26"/>
        </w:rPr>
        <w:t>-</w:t>
      </w:r>
      <w:r w:rsidRPr="0050012B">
        <w:rPr>
          <w:color w:val="000000"/>
          <w:spacing w:val="10"/>
          <w:sz w:val="26"/>
          <w:szCs w:val="26"/>
        </w:rPr>
        <w:t xml:space="preserve"> </w:t>
      </w:r>
      <w:proofErr w:type="gramStart"/>
      <w:r w:rsidRPr="0050012B">
        <w:rPr>
          <w:color w:val="000000"/>
          <w:spacing w:val="10"/>
          <w:sz w:val="26"/>
          <w:szCs w:val="26"/>
        </w:rPr>
        <w:t>provoque</w:t>
      </w:r>
      <w:proofErr w:type="gramEnd"/>
      <w:r w:rsidRPr="0050012B">
        <w:rPr>
          <w:color w:val="000000"/>
          <w:spacing w:val="10"/>
          <w:sz w:val="26"/>
          <w:szCs w:val="26"/>
        </w:rPr>
        <w:t xml:space="preserve"> dano patrimonial de natureza coletiva.</w:t>
      </w:r>
    </w:p>
    <w:p w14:paraId="7D2FF125" w14:textId="37AFCB21" w:rsidR="0050012B" w:rsidRPr="0050012B" w:rsidRDefault="0050012B" w:rsidP="00986F4C">
      <w:pPr>
        <w:pStyle w:val="Autgrafo-corpo"/>
        <w:spacing w:after="240" w:line="360" w:lineRule="atLeast"/>
        <w:ind w:firstLine="2835"/>
        <w:rPr>
          <w:color w:val="000000"/>
          <w:spacing w:val="10"/>
          <w:sz w:val="26"/>
          <w:szCs w:val="26"/>
        </w:rPr>
      </w:pPr>
      <w:r w:rsidRPr="0088361B">
        <w:rPr>
          <w:b/>
          <w:bCs/>
          <w:color w:val="000000"/>
          <w:spacing w:val="10"/>
          <w:sz w:val="26"/>
          <w:szCs w:val="26"/>
        </w:rPr>
        <w:t>Artigo 4º</w:t>
      </w:r>
      <w:r w:rsidRPr="0050012B">
        <w:rPr>
          <w:color w:val="000000"/>
          <w:spacing w:val="10"/>
          <w:sz w:val="26"/>
          <w:szCs w:val="26"/>
        </w:rPr>
        <w:t xml:space="preserve"> </w:t>
      </w:r>
      <w:r w:rsidR="0088361B">
        <w:rPr>
          <w:color w:val="000000"/>
          <w:spacing w:val="10"/>
          <w:sz w:val="26"/>
          <w:szCs w:val="26"/>
        </w:rPr>
        <w:t>-</w:t>
      </w:r>
      <w:r w:rsidRPr="0050012B">
        <w:rPr>
          <w:color w:val="000000"/>
          <w:spacing w:val="10"/>
          <w:sz w:val="26"/>
          <w:szCs w:val="26"/>
        </w:rPr>
        <w:t xml:space="preserve"> A inobservância do critério de dupla visita, ressalvado o disposto no artigo 3º desta lei, implica nulidade do auto de infração, independentemente da natureza da obrigação.</w:t>
      </w:r>
    </w:p>
    <w:p w14:paraId="3090DE34" w14:textId="089FBBBD" w:rsidR="0050012B" w:rsidRPr="0050012B" w:rsidRDefault="0050012B" w:rsidP="00986F4C">
      <w:pPr>
        <w:pStyle w:val="Autgrafo-corpo"/>
        <w:spacing w:after="240" w:line="360" w:lineRule="atLeast"/>
        <w:ind w:firstLine="2835"/>
        <w:rPr>
          <w:color w:val="000000"/>
          <w:spacing w:val="10"/>
          <w:sz w:val="26"/>
          <w:szCs w:val="26"/>
        </w:rPr>
      </w:pPr>
      <w:r w:rsidRPr="0088361B">
        <w:rPr>
          <w:b/>
          <w:bCs/>
          <w:color w:val="000000"/>
          <w:spacing w:val="10"/>
          <w:sz w:val="26"/>
          <w:szCs w:val="26"/>
        </w:rPr>
        <w:t>Artigo 5º</w:t>
      </w:r>
      <w:r w:rsidRPr="0050012B">
        <w:rPr>
          <w:color w:val="000000"/>
          <w:spacing w:val="10"/>
          <w:sz w:val="26"/>
          <w:szCs w:val="26"/>
        </w:rPr>
        <w:t xml:space="preserve"> </w:t>
      </w:r>
      <w:r w:rsidR="0088361B">
        <w:rPr>
          <w:color w:val="000000"/>
          <w:spacing w:val="10"/>
          <w:sz w:val="26"/>
          <w:szCs w:val="26"/>
        </w:rPr>
        <w:t>-</w:t>
      </w:r>
      <w:r w:rsidRPr="0050012B">
        <w:rPr>
          <w:color w:val="000000"/>
          <w:spacing w:val="10"/>
          <w:sz w:val="26"/>
          <w:szCs w:val="26"/>
        </w:rPr>
        <w:t xml:space="preserve"> Os órgãos e as entidades da administração pública estadual deverão observar o princípio do tratamento diferenciado, simplificado e favorecido às microempresas e empresas de pequeno porte, previsto na Lei Complementar nº 123, de 14 de dezembro de 2006, na fixação de valores decorrentes de multas e demais sanções administrativas decorrentes das relações de consumo.</w:t>
      </w:r>
    </w:p>
    <w:p w14:paraId="381AEB53" w14:textId="47EB8AA9" w:rsidR="0050012B" w:rsidRDefault="0050012B" w:rsidP="00986F4C">
      <w:pPr>
        <w:pStyle w:val="Autgrafo-corpo"/>
        <w:spacing w:after="240" w:line="360" w:lineRule="atLeast"/>
        <w:ind w:firstLine="2835"/>
        <w:rPr>
          <w:color w:val="000000"/>
          <w:spacing w:val="10"/>
          <w:sz w:val="26"/>
          <w:szCs w:val="26"/>
        </w:rPr>
      </w:pPr>
      <w:r w:rsidRPr="0088361B">
        <w:rPr>
          <w:b/>
          <w:bCs/>
          <w:color w:val="000000"/>
          <w:spacing w:val="10"/>
          <w:sz w:val="26"/>
          <w:szCs w:val="26"/>
        </w:rPr>
        <w:t>Artigo 6º</w:t>
      </w:r>
      <w:r w:rsidRPr="0050012B">
        <w:rPr>
          <w:color w:val="000000"/>
          <w:spacing w:val="10"/>
          <w:sz w:val="26"/>
          <w:szCs w:val="26"/>
        </w:rPr>
        <w:t xml:space="preserve"> </w:t>
      </w:r>
      <w:r w:rsidR="0088361B">
        <w:rPr>
          <w:color w:val="000000"/>
          <w:spacing w:val="10"/>
          <w:sz w:val="26"/>
          <w:szCs w:val="26"/>
        </w:rPr>
        <w:t>-</w:t>
      </w:r>
      <w:r w:rsidRPr="0050012B">
        <w:rPr>
          <w:color w:val="000000"/>
          <w:spacing w:val="10"/>
          <w:sz w:val="26"/>
          <w:szCs w:val="26"/>
        </w:rPr>
        <w:t xml:space="preserve"> Faculta-se aos municípios, no exercício de sua autonomia legislativa, fiscalizatória e decisória, a aplicação do disposto nesta lei em seu âmbito local, em consonância com as normas do Sistema Nacional de Defesa do Consumidor – SNDC.</w:t>
      </w:r>
    </w:p>
    <w:p w14:paraId="7BC29DAD" w14:textId="3FE30D73" w:rsidR="0050012B" w:rsidRPr="0050012B" w:rsidRDefault="0050012B" w:rsidP="00986F4C">
      <w:pPr>
        <w:pStyle w:val="Autgrafo-corpo"/>
        <w:spacing w:after="240" w:line="360" w:lineRule="atLeast"/>
        <w:ind w:firstLine="2835"/>
        <w:rPr>
          <w:color w:val="000000"/>
          <w:spacing w:val="10"/>
          <w:sz w:val="26"/>
          <w:szCs w:val="26"/>
        </w:rPr>
      </w:pPr>
      <w:r w:rsidRPr="00CE1B68">
        <w:rPr>
          <w:b/>
          <w:bCs/>
          <w:color w:val="000000"/>
          <w:spacing w:val="10"/>
          <w:sz w:val="26"/>
          <w:szCs w:val="26"/>
        </w:rPr>
        <w:t>Parágrafo único</w:t>
      </w:r>
      <w:r w:rsidRPr="0050012B">
        <w:rPr>
          <w:color w:val="000000"/>
          <w:spacing w:val="10"/>
          <w:sz w:val="26"/>
          <w:szCs w:val="26"/>
        </w:rPr>
        <w:t xml:space="preserve"> </w:t>
      </w:r>
      <w:r w:rsidR="00CE1B68">
        <w:rPr>
          <w:color w:val="000000"/>
          <w:spacing w:val="10"/>
          <w:sz w:val="26"/>
          <w:szCs w:val="26"/>
        </w:rPr>
        <w:t>-</w:t>
      </w:r>
      <w:r w:rsidRPr="0050012B">
        <w:rPr>
          <w:color w:val="000000"/>
          <w:spacing w:val="10"/>
          <w:sz w:val="26"/>
          <w:szCs w:val="26"/>
        </w:rPr>
        <w:t xml:space="preserve"> O PROCON poderá celebrar convênios com os municípios para capacitação de agentes públicos quanto à dupla visita na fiscalização das relações de consumo.</w:t>
      </w:r>
    </w:p>
    <w:p w14:paraId="4F827561" w14:textId="69B7ED70" w:rsidR="003B3C21" w:rsidRDefault="0050012B" w:rsidP="00986F4C">
      <w:pPr>
        <w:pStyle w:val="Autgrafo-corpo"/>
        <w:spacing w:after="240" w:line="360" w:lineRule="atLeast"/>
        <w:ind w:firstLine="2835"/>
        <w:rPr>
          <w:color w:val="000000"/>
          <w:spacing w:val="10"/>
          <w:sz w:val="26"/>
          <w:szCs w:val="26"/>
        </w:rPr>
      </w:pPr>
      <w:r w:rsidRPr="00CE1B68">
        <w:rPr>
          <w:b/>
          <w:bCs/>
          <w:color w:val="000000"/>
          <w:spacing w:val="10"/>
          <w:sz w:val="26"/>
          <w:szCs w:val="26"/>
        </w:rPr>
        <w:t>Artigo 7º</w:t>
      </w:r>
      <w:r w:rsidRPr="0050012B">
        <w:rPr>
          <w:color w:val="000000"/>
          <w:spacing w:val="10"/>
          <w:sz w:val="26"/>
          <w:szCs w:val="26"/>
        </w:rPr>
        <w:t xml:space="preserve"> </w:t>
      </w:r>
      <w:r w:rsidR="00CE1B68">
        <w:rPr>
          <w:color w:val="000000"/>
          <w:spacing w:val="10"/>
          <w:sz w:val="26"/>
          <w:szCs w:val="26"/>
        </w:rPr>
        <w:t>-</w:t>
      </w:r>
      <w:r w:rsidRPr="0050012B">
        <w:rPr>
          <w:color w:val="000000"/>
          <w:spacing w:val="10"/>
          <w:sz w:val="26"/>
          <w:szCs w:val="26"/>
        </w:rPr>
        <w:t xml:space="preserve"> Esta lei entra em vigor na data de sua publicação.</w:t>
      </w:r>
    </w:p>
    <w:p w14:paraId="582AEFB2" w14:textId="68B8BA4B" w:rsidR="000D76D2" w:rsidRPr="00B71087" w:rsidRDefault="000D76D2" w:rsidP="00986F4C">
      <w:pPr>
        <w:pStyle w:val="NormalWeb"/>
        <w:spacing w:before="0" w:beforeAutospacing="0" w:after="240" w:afterAutospacing="0" w:line="360" w:lineRule="atLeast"/>
        <w:ind w:firstLine="2835"/>
        <w:jc w:val="both"/>
        <w:rPr>
          <w:b/>
          <w:bCs/>
          <w:color w:val="000000"/>
          <w:spacing w:val="10"/>
          <w:sz w:val="26"/>
          <w:szCs w:val="26"/>
        </w:rPr>
      </w:pPr>
      <w:r w:rsidRPr="00B71087">
        <w:rPr>
          <w:b/>
          <w:bCs/>
          <w:color w:val="000000"/>
          <w:spacing w:val="10"/>
          <w:sz w:val="26"/>
          <w:szCs w:val="26"/>
        </w:rPr>
        <w:t>Palácio dos Bandeirantes,</w:t>
      </w:r>
      <w:r w:rsidR="00503072">
        <w:rPr>
          <w:b/>
          <w:bCs/>
          <w:color w:val="000000"/>
          <w:spacing w:val="10"/>
          <w:sz w:val="26"/>
          <w:szCs w:val="26"/>
        </w:rPr>
        <w:t xml:space="preserve"> </w:t>
      </w:r>
      <w:r w:rsidR="004055EA">
        <w:rPr>
          <w:b/>
          <w:bCs/>
          <w:color w:val="000000"/>
          <w:spacing w:val="10"/>
          <w:sz w:val="26"/>
          <w:szCs w:val="26"/>
        </w:rPr>
        <w:t>na data da assinatura digital</w:t>
      </w:r>
      <w:r>
        <w:rPr>
          <w:b/>
          <w:bCs/>
          <w:color w:val="000000"/>
          <w:spacing w:val="10"/>
          <w:sz w:val="26"/>
          <w:szCs w:val="26"/>
        </w:rPr>
        <w:t>.</w:t>
      </w:r>
    </w:p>
    <w:p w14:paraId="1F4DAF10" w14:textId="03995B0B" w:rsidR="00060449" w:rsidRDefault="000D76D2" w:rsidP="00E801C6">
      <w:pPr>
        <w:pStyle w:val="NormalWeb"/>
        <w:spacing w:before="0" w:beforeAutospacing="0" w:after="360" w:afterAutospacing="0" w:line="360" w:lineRule="atLeast"/>
        <w:jc w:val="center"/>
        <w:rPr>
          <w:b/>
          <w:bCs/>
          <w:color w:val="000000"/>
          <w:spacing w:val="10"/>
          <w:sz w:val="26"/>
          <w:szCs w:val="26"/>
        </w:rPr>
      </w:pPr>
      <w:r w:rsidRPr="00B71087">
        <w:rPr>
          <w:b/>
          <w:bCs/>
          <w:color w:val="000000"/>
          <w:spacing w:val="10"/>
          <w:sz w:val="26"/>
          <w:szCs w:val="26"/>
        </w:rPr>
        <w:t>Tarcísio de Freitas</w:t>
      </w:r>
    </w:p>
    <w:p w14:paraId="39AAE3E7" w14:textId="77777777" w:rsidR="005364D9" w:rsidRPr="004C187E" w:rsidRDefault="005364D9" w:rsidP="005364D9">
      <w:pPr>
        <w:pStyle w:val="tabelatextoalinhadoesquerda"/>
        <w:spacing w:before="0" w:beforeAutospacing="0" w:after="0" w:afterAutospacing="0"/>
        <w:rPr>
          <w:rFonts w:ascii="Calibri" w:hAnsi="Calibri" w:cs="Calibri"/>
          <w:color w:val="000000" w:themeColor="text1"/>
          <w:spacing w:val="10"/>
          <w:sz w:val="22"/>
          <w:szCs w:val="22"/>
        </w:rPr>
      </w:pPr>
      <w:r w:rsidRPr="004C187E">
        <w:rPr>
          <w:color w:val="000000" w:themeColor="text1"/>
          <w:spacing w:val="10"/>
          <w:sz w:val="26"/>
          <w:szCs w:val="26"/>
        </w:rPr>
        <w:t>Fábio Prieto de Souza</w:t>
      </w:r>
    </w:p>
    <w:p w14:paraId="6BF5F858" w14:textId="77777777" w:rsidR="005364D9" w:rsidRPr="004C187E" w:rsidRDefault="005364D9" w:rsidP="005364D9">
      <w:pPr>
        <w:pStyle w:val="tabelatextoalinhadoesquerda"/>
        <w:spacing w:before="0" w:beforeAutospacing="0" w:after="165" w:afterAutospacing="0"/>
        <w:rPr>
          <w:b/>
          <w:bCs/>
          <w:color w:val="000000" w:themeColor="text1"/>
          <w:spacing w:val="10"/>
          <w:sz w:val="26"/>
          <w:szCs w:val="26"/>
        </w:rPr>
      </w:pPr>
      <w:r w:rsidRPr="004C187E">
        <w:rPr>
          <w:color w:val="000000" w:themeColor="text1"/>
          <w:spacing w:val="10"/>
          <w:sz w:val="26"/>
          <w:szCs w:val="26"/>
        </w:rPr>
        <w:t>Secretário da Justiça e Cidadania</w:t>
      </w:r>
    </w:p>
    <w:p w14:paraId="2D3CFC5C" w14:textId="424214EC" w:rsidR="00E93741" w:rsidRDefault="00E93741" w:rsidP="00E801C6">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17AA31D0" w14:textId="77777777" w:rsidR="00E93741"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lastRenderedPageBreak/>
        <w:t>Secretário de Governo e Relações Institucionais</w:t>
      </w:r>
    </w:p>
    <w:p w14:paraId="7745AA9D" w14:textId="77777777" w:rsidR="00E93741" w:rsidRDefault="00E93741" w:rsidP="00E93741">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7AD5C155" w14:textId="344DE80D" w:rsidR="007A0E35"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t>Secretário-Chefe da Casa Civi</w:t>
      </w:r>
      <w:r w:rsidR="00E801C6">
        <w:rPr>
          <w:color w:val="000000"/>
          <w:spacing w:val="10"/>
          <w:sz w:val="26"/>
          <w:szCs w:val="26"/>
        </w:rPr>
        <w:t>l</w:t>
      </w:r>
    </w:p>
    <w:sectPr w:rsidR="007A0E35" w:rsidSect="005148C0">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077E" w14:textId="77777777" w:rsidR="00591E84" w:rsidRDefault="00591E84">
      <w:r>
        <w:separator/>
      </w:r>
    </w:p>
  </w:endnote>
  <w:endnote w:type="continuationSeparator" w:id="0">
    <w:p w14:paraId="069A35B7" w14:textId="77777777" w:rsidR="00591E84" w:rsidRDefault="0059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279F" w14:textId="77777777" w:rsidR="00591E84" w:rsidRDefault="00591E84">
      <w:r>
        <w:separator/>
      </w:r>
    </w:p>
  </w:footnote>
  <w:footnote w:type="continuationSeparator" w:id="0">
    <w:p w14:paraId="35EF343C" w14:textId="77777777" w:rsidR="00591E84" w:rsidRDefault="00591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275F1"/>
    <w:rsid w:val="00060449"/>
    <w:rsid w:val="0006360E"/>
    <w:rsid w:val="00065EDC"/>
    <w:rsid w:val="00066C7B"/>
    <w:rsid w:val="000707CD"/>
    <w:rsid w:val="00071BC2"/>
    <w:rsid w:val="0007566B"/>
    <w:rsid w:val="00092517"/>
    <w:rsid w:val="000931CE"/>
    <w:rsid w:val="000A046C"/>
    <w:rsid w:val="000A667D"/>
    <w:rsid w:val="000B1140"/>
    <w:rsid w:val="000B1CFA"/>
    <w:rsid w:val="000B6064"/>
    <w:rsid w:val="000C2525"/>
    <w:rsid w:val="000D76D2"/>
    <w:rsid w:val="000E72AE"/>
    <w:rsid w:val="00101178"/>
    <w:rsid w:val="00106348"/>
    <w:rsid w:val="00107C88"/>
    <w:rsid w:val="0011445D"/>
    <w:rsid w:val="00122C90"/>
    <w:rsid w:val="00135A67"/>
    <w:rsid w:val="001411AB"/>
    <w:rsid w:val="00151F84"/>
    <w:rsid w:val="00154CEF"/>
    <w:rsid w:val="001A0908"/>
    <w:rsid w:val="001C551A"/>
    <w:rsid w:val="001D37DD"/>
    <w:rsid w:val="00201223"/>
    <w:rsid w:val="00234012"/>
    <w:rsid w:val="00235251"/>
    <w:rsid w:val="0023700F"/>
    <w:rsid w:val="00263331"/>
    <w:rsid w:val="00263D1A"/>
    <w:rsid w:val="0026665E"/>
    <w:rsid w:val="002C0DFA"/>
    <w:rsid w:val="002D75AD"/>
    <w:rsid w:val="002F3E70"/>
    <w:rsid w:val="003057E6"/>
    <w:rsid w:val="00314A58"/>
    <w:rsid w:val="00323496"/>
    <w:rsid w:val="00325597"/>
    <w:rsid w:val="003271DB"/>
    <w:rsid w:val="00331FB0"/>
    <w:rsid w:val="003728CA"/>
    <w:rsid w:val="00372A01"/>
    <w:rsid w:val="003B3C21"/>
    <w:rsid w:val="003D3452"/>
    <w:rsid w:val="003F4456"/>
    <w:rsid w:val="004055EA"/>
    <w:rsid w:val="00413CBF"/>
    <w:rsid w:val="00417B30"/>
    <w:rsid w:val="00420D4A"/>
    <w:rsid w:val="00425976"/>
    <w:rsid w:val="004314AE"/>
    <w:rsid w:val="00440623"/>
    <w:rsid w:val="00453D71"/>
    <w:rsid w:val="00473BB9"/>
    <w:rsid w:val="00491569"/>
    <w:rsid w:val="004A5CB6"/>
    <w:rsid w:val="004A7778"/>
    <w:rsid w:val="004D7015"/>
    <w:rsid w:val="004F2D29"/>
    <w:rsid w:val="0050012B"/>
    <w:rsid w:val="00500697"/>
    <w:rsid w:val="00503072"/>
    <w:rsid w:val="005054EE"/>
    <w:rsid w:val="0051063F"/>
    <w:rsid w:val="005148C0"/>
    <w:rsid w:val="0052685D"/>
    <w:rsid w:val="005364D9"/>
    <w:rsid w:val="00537BF5"/>
    <w:rsid w:val="005433E7"/>
    <w:rsid w:val="00547413"/>
    <w:rsid w:val="0057081B"/>
    <w:rsid w:val="005726EE"/>
    <w:rsid w:val="00582852"/>
    <w:rsid w:val="00585F10"/>
    <w:rsid w:val="00591E84"/>
    <w:rsid w:val="00592B02"/>
    <w:rsid w:val="005B50DF"/>
    <w:rsid w:val="005C660F"/>
    <w:rsid w:val="005D4034"/>
    <w:rsid w:val="005E51CA"/>
    <w:rsid w:val="005F0030"/>
    <w:rsid w:val="005F3593"/>
    <w:rsid w:val="00607CB9"/>
    <w:rsid w:val="00617C44"/>
    <w:rsid w:val="006214C9"/>
    <w:rsid w:val="006316F2"/>
    <w:rsid w:val="006322A2"/>
    <w:rsid w:val="006410A9"/>
    <w:rsid w:val="006501D6"/>
    <w:rsid w:val="006520CF"/>
    <w:rsid w:val="00665C74"/>
    <w:rsid w:val="00673AF1"/>
    <w:rsid w:val="00677A1F"/>
    <w:rsid w:val="00693E54"/>
    <w:rsid w:val="006D28F4"/>
    <w:rsid w:val="006D2A38"/>
    <w:rsid w:val="006F494A"/>
    <w:rsid w:val="0070544F"/>
    <w:rsid w:val="00713E58"/>
    <w:rsid w:val="00755565"/>
    <w:rsid w:val="00756C1F"/>
    <w:rsid w:val="00757542"/>
    <w:rsid w:val="00771608"/>
    <w:rsid w:val="00777F73"/>
    <w:rsid w:val="007860D1"/>
    <w:rsid w:val="007A0E35"/>
    <w:rsid w:val="007B26E0"/>
    <w:rsid w:val="007F5983"/>
    <w:rsid w:val="00832FC7"/>
    <w:rsid w:val="00833251"/>
    <w:rsid w:val="008449D8"/>
    <w:rsid w:val="008460E9"/>
    <w:rsid w:val="0086196D"/>
    <w:rsid w:val="00876669"/>
    <w:rsid w:val="0088361B"/>
    <w:rsid w:val="00896BAF"/>
    <w:rsid w:val="008B220E"/>
    <w:rsid w:val="008C5714"/>
    <w:rsid w:val="008C7105"/>
    <w:rsid w:val="008E1BAF"/>
    <w:rsid w:val="008F1994"/>
    <w:rsid w:val="008F2D6B"/>
    <w:rsid w:val="00930DA4"/>
    <w:rsid w:val="0097002C"/>
    <w:rsid w:val="009804E6"/>
    <w:rsid w:val="0098618B"/>
    <w:rsid w:val="009863A6"/>
    <w:rsid w:val="00986F4C"/>
    <w:rsid w:val="009B08DE"/>
    <w:rsid w:val="009B5168"/>
    <w:rsid w:val="009C03C9"/>
    <w:rsid w:val="009E5BE3"/>
    <w:rsid w:val="009E787A"/>
    <w:rsid w:val="00A06F61"/>
    <w:rsid w:val="00A32C26"/>
    <w:rsid w:val="00A340EC"/>
    <w:rsid w:val="00A3438B"/>
    <w:rsid w:val="00A7322D"/>
    <w:rsid w:val="00A81BE2"/>
    <w:rsid w:val="00A844D8"/>
    <w:rsid w:val="00A96A00"/>
    <w:rsid w:val="00AA7D61"/>
    <w:rsid w:val="00AB5ACF"/>
    <w:rsid w:val="00AD1919"/>
    <w:rsid w:val="00AD19E6"/>
    <w:rsid w:val="00B204F2"/>
    <w:rsid w:val="00B27EEA"/>
    <w:rsid w:val="00B477BC"/>
    <w:rsid w:val="00B71E11"/>
    <w:rsid w:val="00B84CE2"/>
    <w:rsid w:val="00BF5D35"/>
    <w:rsid w:val="00C23E4C"/>
    <w:rsid w:val="00C25BD6"/>
    <w:rsid w:val="00C365B9"/>
    <w:rsid w:val="00C435D7"/>
    <w:rsid w:val="00C43950"/>
    <w:rsid w:val="00C46CDA"/>
    <w:rsid w:val="00C67C7A"/>
    <w:rsid w:val="00C71D60"/>
    <w:rsid w:val="00C85DE8"/>
    <w:rsid w:val="00C93913"/>
    <w:rsid w:val="00CB75A2"/>
    <w:rsid w:val="00CE1B68"/>
    <w:rsid w:val="00CF3B69"/>
    <w:rsid w:val="00D002B0"/>
    <w:rsid w:val="00D35643"/>
    <w:rsid w:val="00D53351"/>
    <w:rsid w:val="00D56D56"/>
    <w:rsid w:val="00D6634D"/>
    <w:rsid w:val="00D771FC"/>
    <w:rsid w:val="00DA0E42"/>
    <w:rsid w:val="00DA353B"/>
    <w:rsid w:val="00DB204B"/>
    <w:rsid w:val="00DF3019"/>
    <w:rsid w:val="00E10DCC"/>
    <w:rsid w:val="00E246B7"/>
    <w:rsid w:val="00E43D89"/>
    <w:rsid w:val="00E51B68"/>
    <w:rsid w:val="00E628F0"/>
    <w:rsid w:val="00E674AA"/>
    <w:rsid w:val="00E729D9"/>
    <w:rsid w:val="00E801C6"/>
    <w:rsid w:val="00E80B37"/>
    <w:rsid w:val="00E9365E"/>
    <w:rsid w:val="00E93741"/>
    <w:rsid w:val="00EA6D22"/>
    <w:rsid w:val="00EA7EB2"/>
    <w:rsid w:val="00EC35C3"/>
    <w:rsid w:val="00ED6986"/>
    <w:rsid w:val="00EE2C00"/>
    <w:rsid w:val="00EF1C8D"/>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uiPriority w:val="99"/>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 w:type="paragraph" w:customStyle="1" w:styleId="tabelatextoalinhadoesquerda">
    <w:name w:val="tabela_texto_alinhado_esquerda"/>
    <w:basedOn w:val="Normal"/>
    <w:rsid w:val="005364D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3.xml><?xml version="1.0" encoding="utf-8"?>
<ds:datastoreItem xmlns:ds="http://schemas.openxmlformats.org/officeDocument/2006/customXml" ds:itemID="{AF1B673D-E4A9-47C5-A192-F10ECF584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839</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Fernanda Vieira Cunha Schvanz</cp:lastModifiedBy>
  <cp:revision>4</cp:revision>
  <cp:lastPrinted>1900-01-01T02:00:00Z</cp:lastPrinted>
  <dcterms:created xsi:type="dcterms:W3CDTF">2025-07-11T17:41:00Z</dcterms:created>
  <dcterms:modified xsi:type="dcterms:W3CDTF">2025-07-11T17:46:00Z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