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FD9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LEI Nº 17.785, DE 02 DE OUTUBRO DE 2023</w:t>
      </w:r>
    </w:p>
    <w:p w14:paraId="5D1D167F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EB85889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Altera a Lei Estadual nº 11.608, de 29 de dezembro de 2003, que dispõe sobre a Taxa Judiciária incidente sobre os serviços públicos de natureza forense, e dá outras providências.</w:t>
      </w:r>
    </w:p>
    <w:p w14:paraId="308EE800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71295C27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110B60F6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AC142F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4042D5CB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33224A4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Artigo 1º -</w:t>
      </w:r>
      <w:r w:rsidRPr="009417A8">
        <w:rPr>
          <w:rFonts w:ascii="Helvetica" w:hAnsi="Helvetica" w:cs="Helvetica"/>
          <w:spacing w:val="10"/>
        </w:rPr>
        <w:t xml:space="preserve"> O artigo 1º da Lei nº 11.608/2003 passa a ter a seguinte redação:</w:t>
      </w:r>
    </w:p>
    <w:p w14:paraId="1F1DFFC9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5B4828A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“Artigo 1º - A taxa judiciária, que tem por fato gerador a prestação de serviços públicos de natureza forense, devida pelas partes ao Estado, nas ações de conhecimento, na execução, nas ações cautelares, nos procedimentos de jurisdição voluntária, nos recursos e na carta arbitral, passa a ser regida por esta lei.” (NR)</w:t>
      </w:r>
    </w:p>
    <w:p w14:paraId="2A1795E5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900D59B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Artigo 2º -</w:t>
      </w:r>
      <w:r w:rsidRPr="009417A8">
        <w:rPr>
          <w:rFonts w:ascii="Helvetica" w:hAnsi="Helvetica" w:cs="Helvetica"/>
          <w:spacing w:val="10"/>
        </w:rPr>
        <w:t xml:space="preserve"> Ficam acrescidos os incisos XIV e XV ao parágrafo único do artigo 2º da Lei nº 11.608/2003, passando seus incisos XI, XII e XIII a vigorar com nova redação, nos seguintes termos:</w:t>
      </w:r>
    </w:p>
    <w:p w14:paraId="1B8DA6CA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0F5D53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“Artigo 2º - (...)</w:t>
      </w:r>
    </w:p>
    <w:p w14:paraId="6B33EE05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87BED9B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Parágrafo único - (...)</w:t>
      </w:r>
    </w:p>
    <w:p w14:paraId="0E41ACFB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5570C7B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(...)</w:t>
      </w:r>
    </w:p>
    <w:p w14:paraId="75F8DFA4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78694DD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 xml:space="preserve">XI - a inclusão e a exclusão de ordens judiciais ou a obtenção de informações via sistemas informatizados, tais como </w:t>
      </w:r>
      <w:proofErr w:type="spellStart"/>
      <w:r w:rsidRPr="009417A8">
        <w:rPr>
          <w:rFonts w:ascii="Helvetica" w:hAnsi="Helvetica" w:cs="Helvetica"/>
          <w:spacing w:val="10"/>
        </w:rPr>
        <w:t>Infojud</w:t>
      </w:r>
      <w:proofErr w:type="spellEnd"/>
      <w:r w:rsidRPr="009417A8">
        <w:rPr>
          <w:rFonts w:ascii="Helvetica" w:hAnsi="Helvetica" w:cs="Helvetica"/>
          <w:spacing w:val="10"/>
        </w:rPr>
        <w:t xml:space="preserve">, </w:t>
      </w:r>
      <w:proofErr w:type="spellStart"/>
      <w:r w:rsidRPr="009417A8">
        <w:rPr>
          <w:rFonts w:ascii="Helvetica" w:hAnsi="Helvetica" w:cs="Helvetica"/>
          <w:spacing w:val="10"/>
        </w:rPr>
        <w:t>Sisbajud</w:t>
      </w:r>
      <w:proofErr w:type="spellEnd"/>
      <w:r w:rsidRPr="009417A8">
        <w:rPr>
          <w:rFonts w:ascii="Helvetica" w:hAnsi="Helvetica" w:cs="Helvetica"/>
          <w:spacing w:val="10"/>
        </w:rPr>
        <w:t xml:space="preserve">, </w:t>
      </w:r>
      <w:proofErr w:type="spellStart"/>
      <w:r w:rsidRPr="009417A8">
        <w:rPr>
          <w:rFonts w:ascii="Helvetica" w:hAnsi="Helvetica" w:cs="Helvetica"/>
          <w:spacing w:val="10"/>
        </w:rPr>
        <w:t>Renajud</w:t>
      </w:r>
      <w:proofErr w:type="spellEnd"/>
      <w:r w:rsidRPr="009417A8">
        <w:rPr>
          <w:rFonts w:ascii="Helvetica" w:hAnsi="Helvetica" w:cs="Helvetica"/>
          <w:spacing w:val="10"/>
        </w:rPr>
        <w:t xml:space="preserve">, </w:t>
      </w:r>
      <w:proofErr w:type="spellStart"/>
      <w:r w:rsidRPr="009417A8">
        <w:rPr>
          <w:rFonts w:ascii="Helvetica" w:hAnsi="Helvetica" w:cs="Helvetica"/>
          <w:spacing w:val="10"/>
        </w:rPr>
        <w:t>SerasaJud</w:t>
      </w:r>
      <w:proofErr w:type="spellEnd"/>
      <w:r w:rsidRPr="009417A8">
        <w:rPr>
          <w:rFonts w:ascii="Helvetica" w:hAnsi="Helvetica" w:cs="Helvetica"/>
          <w:spacing w:val="10"/>
        </w:rPr>
        <w:t xml:space="preserve"> ou análogos, cujos custos serão fixados periodicamente pelo Conselho Superior da Magistratura; (NR)</w:t>
      </w:r>
    </w:p>
    <w:p w14:paraId="4890B52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109B562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XII - as despesas de arrombamento e remoção, nas ações de despejo e reintegração de posse, ou de quaisquer outras diligências preparatórias de ação ordenadas por magistrados, cujos custos serão fixados periodicamente pelo Conselho Superior da Magistratura; (NR)</w:t>
      </w:r>
    </w:p>
    <w:p w14:paraId="7299696E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C8034F0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XIII - o envio eletrônico de citações, intimações, ofícios e notificações, por qualquer meio eletrônico, cujos custos serão fixados periodicamente pelo Conselho Superior da Magistratura; (NR)</w:t>
      </w:r>
    </w:p>
    <w:p w14:paraId="67916C5E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D7BA7D7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XIV - as despesas com restauração de autos e cancelamento de processos, cujos custos serão fixados periodicamente pelo Conselho Superior da Magistratura;</w:t>
      </w:r>
    </w:p>
    <w:p w14:paraId="37CF3586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BE2B5FA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 xml:space="preserve">XV - </w:t>
      </w:r>
      <w:proofErr w:type="gramStart"/>
      <w:r w:rsidRPr="009417A8">
        <w:rPr>
          <w:rFonts w:ascii="Helvetica" w:hAnsi="Helvetica" w:cs="Helvetica"/>
          <w:spacing w:val="10"/>
        </w:rPr>
        <w:t>todas as</w:t>
      </w:r>
      <w:proofErr w:type="gramEnd"/>
      <w:r w:rsidRPr="009417A8">
        <w:rPr>
          <w:rFonts w:ascii="Helvetica" w:hAnsi="Helvetica" w:cs="Helvetica"/>
          <w:spacing w:val="10"/>
        </w:rPr>
        <w:t xml:space="preserve"> demais despesas que não correspondam aos serviços relacionados no ‘caput’ deste artigo.”</w:t>
      </w:r>
    </w:p>
    <w:p w14:paraId="2D06B7FA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36C0D9D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Artigo 3º -</w:t>
      </w:r>
      <w:r w:rsidRPr="009417A8">
        <w:rPr>
          <w:rFonts w:ascii="Helvetica" w:hAnsi="Helvetica" w:cs="Helvetica"/>
          <w:spacing w:val="10"/>
        </w:rPr>
        <w:t xml:space="preserve"> Os incisos I, II e III, e o parágrafo 5º do artigo 4º da Lei nº 11.608/03 passam a ter a seguinte redação:</w:t>
      </w:r>
    </w:p>
    <w:p w14:paraId="4B047735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353190D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“Art. 4º - (...)</w:t>
      </w:r>
    </w:p>
    <w:p w14:paraId="027B9FA3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5F4D978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I - 1,5% (um e meio por cento) sobre o valor da causa no momento da distribuição ou, na falta desta, antes do despacho inicial, aplicando-se esta mesma regra às hipóteses de reconvenção e oposição; (NR)</w:t>
      </w:r>
    </w:p>
    <w:p w14:paraId="52DC8EB7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D47B0F4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II - 4% (quatro por cento) sobre o valor da causa, nos termos do artigo 1.007 do Código de Processo Civil, como preparo da apelação e do recurso adesivo; (NR)</w:t>
      </w:r>
    </w:p>
    <w:p w14:paraId="4B450EC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25C4ABF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III - 2% (dois por cento) sobre o valor da causa no momento da distribuição da execução de título extrajudicial; (NR)</w:t>
      </w:r>
    </w:p>
    <w:p w14:paraId="3BA14FCD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9AC4D83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(...)</w:t>
      </w:r>
    </w:p>
    <w:p w14:paraId="4B876040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2268968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 xml:space="preserve">§5º - A petição do agravo de instrumento deverá ser instruída com o comprovante de pagamento da taxa judiciária correspondente a 15 (quinze) </w:t>
      </w:r>
      <w:proofErr w:type="spellStart"/>
      <w:r w:rsidRPr="009417A8">
        <w:rPr>
          <w:rFonts w:ascii="Helvetica" w:hAnsi="Helvetica" w:cs="Helvetica"/>
          <w:spacing w:val="10"/>
        </w:rPr>
        <w:t>UFESPs</w:t>
      </w:r>
      <w:proofErr w:type="spellEnd"/>
      <w:r w:rsidRPr="009417A8">
        <w:rPr>
          <w:rFonts w:ascii="Helvetica" w:hAnsi="Helvetica" w:cs="Helvetica"/>
          <w:spacing w:val="10"/>
        </w:rPr>
        <w:t xml:space="preserve"> e do porte de retorno, fixado na forma do parágrafo anterior, nos termos do art. 1.007 do Código de Processo Civil.” (NR)</w:t>
      </w:r>
    </w:p>
    <w:p w14:paraId="288ED55A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B724D7E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Artigo 4º -</w:t>
      </w:r>
      <w:r w:rsidRPr="009417A8">
        <w:rPr>
          <w:rFonts w:ascii="Helvetica" w:hAnsi="Helvetica" w:cs="Helvetica"/>
          <w:spacing w:val="10"/>
        </w:rPr>
        <w:t xml:space="preserve"> Acrescentem–se o inciso IV e os parágrafos 12 e 13 ao artigo 4º da Lei nº 11.608/03, com a redação que segue:</w:t>
      </w:r>
    </w:p>
    <w:p w14:paraId="12DCD47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B13DE7F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“Art. 4º - (...)</w:t>
      </w:r>
    </w:p>
    <w:p w14:paraId="6485D946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44B9490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(...)</w:t>
      </w:r>
    </w:p>
    <w:p w14:paraId="126B7AD7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28F3DD8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IV - 2% (dois por cento) sobre o valor do crédito a ser satisfeito, por ocasião da instauração da fase de cumprimento de sentença.</w:t>
      </w:r>
    </w:p>
    <w:p w14:paraId="7BDF426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C443FBE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lastRenderedPageBreak/>
        <w:t>(...)</w:t>
      </w:r>
    </w:p>
    <w:p w14:paraId="0EC59C81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14E1F50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§12 - O valor da causa, para fins de cálculo da taxa judiciária, em qualquer fase do processo, deverá ser sempre atualizado monetariamente.</w:t>
      </w:r>
    </w:p>
    <w:p w14:paraId="1A1A89F1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D13F7E3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§13 - Ao dar início à execução, o exequente incluirá no demonstrativo de débito a taxa prevista nos incisos III e IV do presente artigo.”</w:t>
      </w:r>
    </w:p>
    <w:p w14:paraId="094E6AC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2197F4D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Artigo 5º -</w:t>
      </w:r>
      <w:r w:rsidRPr="009417A8">
        <w:rPr>
          <w:rFonts w:ascii="Helvetica" w:hAnsi="Helvetica" w:cs="Helvetica"/>
          <w:spacing w:val="10"/>
        </w:rPr>
        <w:t xml:space="preserve"> Esta lei entra em vigor na data de sua publicação, observado, em relação à nova redação conferida ao inciso I e ao § 5º do artigo 4º da Lei nº 11.608/03, o disposto nas alíneas “b” e “c” do inciso III do artigo 150 da Constituição Federal.</w:t>
      </w:r>
    </w:p>
    <w:p w14:paraId="783AED1B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735AF62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b/>
          <w:bCs/>
          <w:spacing w:val="10"/>
        </w:rPr>
        <w:t>Parágrafo único -</w:t>
      </w:r>
      <w:r w:rsidRPr="009417A8">
        <w:rPr>
          <w:rFonts w:ascii="Helvetica" w:hAnsi="Helvetica" w:cs="Helvetica"/>
          <w:spacing w:val="10"/>
        </w:rPr>
        <w:t xml:space="preserve"> A nova redação conferida aos incisos III e IV e ao § 13, todos do artigo 4º da Lei nº 11.608/03, aplica-se apenas às execuções iniciadas após a entrada em vigor desta lei, respeitado, igualmente, o disposto nas alíneas “b” e “c” do inciso III do artigo 150 da Constituição Federal.</w:t>
      </w:r>
    </w:p>
    <w:p w14:paraId="33A54601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1963551" w14:textId="77777777" w:rsid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Palácio dos Bandeirantes, 02 de outubro de 2023</w:t>
      </w:r>
    </w:p>
    <w:p w14:paraId="290BA962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A8841C9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TARCÍSIO DE FREITAS</w:t>
      </w:r>
    </w:p>
    <w:p w14:paraId="1850A24D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Fábio Prieto</w:t>
      </w:r>
    </w:p>
    <w:p w14:paraId="686F1520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Secretário da Justiça e Cidadania</w:t>
      </w:r>
    </w:p>
    <w:p w14:paraId="088A4C76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 xml:space="preserve">Samuel </w:t>
      </w:r>
      <w:proofErr w:type="spellStart"/>
      <w:r w:rsidRPr="009417A8">
        <w:rPr>
          <w:rFonts w:ascii="Helvetica" w:hAnsi="Helvetica" w:cs="Helvetica"/>
          <w:spacing w:val="10"/>
        </w:rPr>
        <w:t>Kinoshita</w:t>
      </w:r>
      <w:proofErr w:type="spellEnd"/>
    </w:p>
    <w:p w14:paraId="3CA40A8F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Secretário da Fazenda e Planejamento</w:t>
      </w:r>
    </w:p>
    <w:p w14:paraId="7C35D28F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Gilberto Kassab</w:t>
      </w:r>
    </w:p>
    <w:p w14:paraId="37DBA426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Secretário de Governo e Relações Institucionais</w:t>
      </w:r>
    </w:p>
    <w:p w14:paraId="00350460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 xml:space="preserve">Arthur </w:t>
      </w:r>
      <w:proofErr w:type="spellStart"/>
      <w:r w:rsidRPr="009417A8">
        <w:rPr>
          <w:rFonts w:ascii="Helvetica" w:hAnsi="Helvetica" w:cs="Helvetica"/>
          <w:spacing w:val="10"/>
        </w:rPr>
        <w:t>Luis</w:t>
      </w:r>
      <w:proofErr w:type="spellEnd"/>
      <w:r w:rsidRPr="009417A8">
        <w:rPr>
          <w:rFonts w:ascii="Helvetica" w:hAnsi="Helvetica" w:cs="Helvetica"/>
          <w:spacing w:val="10"/>
        </w:rPr>
        <w:t xml:space="preserve"> Pinho de Lima</w:t>
      </w:r>
    </w:p>
    <w:p w14:paraId="0CF57DB1" w14:textId="77777777" w:rsidR="009417A8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Secretário-Chefe da Casa Civil</w:t>
      </w:r>
    </w:p>
    <w:p w14:paraId="542D30BE" w14:textId="786CC664" w:rsidR="008F2DFC" w:rsidRPr="009417A8" w:rsidRDefault="009417A8" w:rsidP="009417A8">
      <w:pPr>
        <w:tabs>
          <w:tab w:val="center" w:pos="4252"/>
        </w:tabs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9417A8">
        <w:rPr>
          <w:rFonts w:ascii="Helvetica" w:hAnsi="Helvetica" w:cs="Helvetica"/>
          <w:spacing w:val="10"/>
        </w:rPr>
        <w:t>Publicada na Assessoria Técnico-Legislativa, em 02 de outubro de 2023</w:t>
      </w:r>
    </w:p>
    <w:sectPr w:rsidR="008F2DFC" w:rsidRPr="00941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A8"/>
    <w:rsid w:val="008F2DFC"/>
    <w:rsid w:val="009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6C03"/>
  <w15:chartTrackingRefBased/>
  <w15:docId w15:val="{DFDB93C8-2739-4090-B58B-CC8BD6B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188163-7170-476A-BF3B-25D5BDA07B1A}"/>
</file>

<file path=customXml/itemProps2.xml><?xml version="1.0" encoding="utf-8"?>
<ds:datastoreItem xmlns:ds="http://schemas.openxmlformats.org/officeDocument/2006/customXml" ds:itemID="{48D8F513-F6E7-4B8D-BACF-B80099EB3FEA}"/>
</file>

<file path=customXml/itemProps3.xml><?xml version="1.0" encoding="utf-8"?>
<ds:datastoreItem xmlns:ds="http://schemas.openxmlformats.org/officeDocument/2006/customXml" ds:itemID="{4A46B6AB-0153-4BD8-9C7D-D9DE29BE2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2024-01-18T18:22:00Z</dcterms:created>
  <dcterms:modified xsi:type="dcterms:W3CDTF">2024-01-18T18:28:00Z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