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A5DBC" w14:textId="0AA596B6" w:rsidR="000C7344" w:rsidRPr="00972BAE" w:rsidRDefault="000C7344" w:rsidP="000C7344">
      <w:pPr>
        <w:spacing w:line="360" w:lineRule="atLeast"/>
        <w:jc w:val="center"/>
        <w:rPr>
          <w:color w:val="000000"/>
          <w:sz w:val="26"/>
          <w:szCs w:val="26"/>
        </w:rPr>
      </w:pPr>
      <w:bookmarkStart w:id="0" w:name="_Hlk133331013"/>
      <w:bookmarkStart w:id="1" w:name="_Hlk142993871"/>
      <w:r w:rsidRPr="00972BAE">
        <w:rPr>
          <w:b/>
          <w:bCs/>
          <w:color w:val="000000"/>
          <w:spacing w:val="10"/>
          <w:sz w:val="26"/>
          <w:szCs w:val="26"/>
        </w:rPr>
        <w:t>Lei</w:t>
      </w:r>
      <w:r>
        <w:rPr>
          <w:b/>
          <w:bCs/>
          <w:color w:val="000000"/>
          <w:spacing w:val="10"/>
          <w:sz w:val="26"/>
          <w:szCs w:val="26"/>
        </w:rPr>
        <w:t xml:space="preserve"> </w:t>
      </w:r>
      <w:r w:rsidRPr="00972BAE">
        <w:rPr>
          <w:b/>
          <w:bCs/>
          <w:color w:val="000000"/>
          <w:spacing w:val="10"/>
          <w:sz w:val="26"/>
          <w:szCs w:val="26"/>
        </w:rPr>
        <w:t>nº</w:t>
      </w:r>
      <w:r>
        <w:rPr>
          <w:b/>
          <w:bCs/>
          <w:color w:val="000000"/>
          <w:spacing w:val="10"/>
          <w:sz w:val="26"/>
          <w:szCs w:val="26"/>
        </w:rPr>
        <w:t xml:space="preserve"> </w:t>
      </w:r>
      <w:r w:rsidR="005772F9">
        <w:rPr>
          <w:b/>
          <w:bCs/>
          <w:color w:val="000000"/>
          <w:spacing w:val="10"/>
          <w:sz w:val="26"/>
          <w:szCs w:val="26"/>
        </w:rPr>
        <w:t>17.989</w:t>
      </w:r>
      <w:r w:rsidRPr="00972BAE">
        <w:rPr>
          <w:b/>
          <w:bCs/>
          <w:color w:val="000000"/>
          <w:spacing w:val="10"/>
          <w:sz w:val="26"/>
          <w:szCs w:val="26"/>
        </w:rPr>
        <w:t>, de</w:t>
      </w:r>
      <w:r>
        <w:rPr>
          <w:b/>
          <w:bCs/>
          <w:color w:val="000000"/>
          <w:spacing w:val="10"/>
          <w:sz w:val="26"/>
          <w:szCs w:val="26"/>
        </w:rPr>
        <w:t xml:space="preserve"> </w:t>
      </w:r>
      <w:r w:rsidR="008F4E65">
        <w:rPr>
          <w:b/>
          <w:bCs/>
          <w:color w:val="000000"/>
          <w:spacing w:val="10"/>
          <w:sz w:val="26"/>
          <w:szCs w:val="26"/>
        </w:rPr>
        <w:t>22</w:t>
      </w:r>
      <w:r>
        <w:rPr>
          <w:b/>
          <w:bCs/>
          <w:color w:val="000000"/>
          <w:spacing w:val="10"/>
          <w:sz w:val="26"/>
          <w:szCs w:val="26"/>
        </w:rPr>
        <w:t xml:space="preserve"> </w:t>
      </w:r>
      <w:proofErr w:type="spellStart"/>
      <w:r w:rsidRPr="00972BAE">
        <w:rPr>
          <w:b/>
          <w:bCs/>
          <w:color w:val="000000"/>
          <w:spacing w:val="10"/>
          <w:sz w:val="26"/>
          <w:szCs w:val="26"/>
        </w:rPr>
        <w:t>de</w:t>
      </w:r>
      <w:proofErr w:type="spellEnd"/>
      <w:r>
        <w:rPr>
          <w:b/>
          <w:bCs/>
          <w:color w:val="000000"/>
          <w:spacing w:val="10"/>
          <w:sz w:val="26"/>
          <w:szCs w:val="26"/>
        </w:rPr>
        <w:t xml:space="preserve"> julho </w:t>
      </w:r>
      <w:r w:rsidRPr="00972BAE">
        <w:rPr>
          <w:b/>
          <w:bCs/>
          <w:color w:val="000000"/>
          <w:spacing w:val="10"/>
          <w:sz w:val="26"/>
          <w:szCs w:val="26"/>
        </w:rPr>
        <w:t>de 202</w:t>
      </w:r>
      <w:bookmarkEnd w:id="0"/>
      <w:r>
        <w:rPr>
          <w:b/>
          <w:bCs/>
          <w:color w:val="000000"/>
          <w:spacing w:val="10"/>
          <w:sz w:val="26"/>
          <w:szCs w:val="26"/>
        </w:rPr>
        <w:t xml:space="preserve">4 </w:t>
      </w:r>
    </w:p>
    <w:p w14:paraId="4B8AEF0E" w14:textId="77777777" w:rsidR="000C7344" w:rsidRPr="00972BAE" w:rsidRDefault="000C7344" w:rsidP="000C7344">
      <w:pPr>
        <w:spacing w:line="360" w:lineRule="atLeast"/>
        <w:rPr>
          <w:i/>
          <w:iCs/>
          <w:color w:val="000000"/>
          <w:spacing w:val="10"/>
          <w:sz w:val="26"/>
          <w:szCs w:val="26"/>
        </w:rPr>
      </w:pPr>
    </w:p>
    <w:p w14:paraId="2C01CC4C" w14:textId="77777777" w:rsidR="000C7344" w:rsidRPr="00972BAE" w:rsidRDefault="000C7344" w:rsidP="000C7344">
      <w:pPr>
        <w:spacing w:line="360" w:lineRule="atLeast"/>
        <w:rPr>
          <w:i/>
          <w:iCs/>
          <w:color w:val="000000"/>
          <w:spacing w:val="10"/>
          <w:sz w:val="26"/>
          <w:szCs w:val="26"/>
        </w:rPr>
      </w:pPr>
    </w:p>
    <w:p w14:paraId="5C073BC7" w14:textId="77777777" w:rsidR="000C7344" w:rsidRPr="00972BAE" w:rsidRDefault="000C7344" w:rsidP="000C7344">
      <w:pPr>
        <w:spacing w:line="240" w:lineRule="exact"/>
        <w:ind w:left="3402" w:firstLine="851"/>
        <w:jc w:val="both"/>
        <w:rPr>
          <w:i/>
          <w:iCs/>
          <w:color w:val="000000"/>
          <w:spacing w:val="10"/>
          <w:sz w:val="26"/>
          <w:szCs w:val="26"/>
        </w:rPr>
      </w:pPr>
      <w:r w:rsidRPr="2F8F09F9">
        <w:rPr>
          <w:i/>
          <w:iCs/>
          <w:color w:val="000000"/>
          <w:spacing w:val="10"/>
          <w:sz w:val="26"/>
          <w:szCs w:val="26"/>
        </w:rPr>
        <w:t>Autoriza o Poder Executivo a contratar operações de crédito e a prestar contragarantias relativas aos projetos que especifica, altera a Lei nº 17.386, de 14 de julho de 2021, e dá providências correlatas</w:t>
      </w:r>
      <w:r w:rsidRPr="005E7C30">
        <w:rPr>
          <w:i/>
          <w:iCs/>
          <w:color w:val="000000"/>
          <w:spacing w:val="10"/>
          <w:sz w:val="26"/>
          <w:szCs w:val="24"/>
        </w:rPr>
        <w:t>.</w:t>
      </w:r>
    </w:p>
    <w:p w14:paraId="1C8D15AA" w14:textId="77777777" w:rsidR="000C7344" w:rsidRPr="00596F18" w:rsidRDefault="000C7344" w:rsidP="000C7344">
      <w:pPr>
        <w:spacing w:line="360" w:lineRule="atLeast"/>
        <w:ind w:firstLine="2835"/>
        <w:jc w:val="both"/>
        <w:rPr>
          <w:color w:val="000000"/>
          <w:spacing w:val="10"/>
          <w:sz w:val="26"/>
          <w:szCs w:val="26"/>
        </w:rPr>
      </w:pPr>
    </w:p>
    <w:bookmarkEnd w:id="1"/>
    <w:p w14:paraId="6B84E276" w14:textId="77777777" w:rsidR="000C7344" w:rsidRPr="00596F18" w:rsidRDefault="000C7344" w:rsidP="000C7344">
      <w:pPr>
        <w:spacing w:line="360" w:lineRule="atLeast"/>
        <w:ind w:firstLine="2835"/>
        <w:jc w:val="both"/>
        <w:rPr>
          <w:color w:val="000000"/>
          <w:spacing w:val="10"/>
          <w:sz w:val="26"/>
          <w:szCs w:val="26"/>
        </w:rPr>
      </w:pPr>
      <w:r w:rsidRPr="00596F18">
        <w:rPr>
          <w:b/>
          <w:bCs/>
          <w:color w:val="000000"/>
          <w:spacing w:val="10"/>
          <w:sz w:val="26"/>
          <w:szCs w:val="26"/>
        </w:rPr>
        <w:t>O GOVERNADOR DO ESTADO DE SÃO PAULO:</w:t>
      </w:r>
    </w:p>
    <w:p w14:paraId="63F0C28D" w14:textId="77777777" w:rsidR="000C7344" w:rsidRPr="00596F18" w:rsidRDefault="000C7344" w:rsidP="000C7344">
      <w:pPr>
        <w:spacing w:line="360" w:lineRule="atLeast"/>
        <w:ind w:firstLine="2835"/>
        <w:jc w:val="both"/>
        <w:rPr>
          <w:color w:val="000000"/>
          <w:spacing w:val="10"/>
          <w:sz w:val="26"/>
          <w:szCs w:val="26"/>
        </w:rPr>
      </w:pPr>
    </w:p>
    <w:p w14:paraId="26647477" w14:textId="77777777" w:rsidR="000C7344" w:rsidRPr="00596F18" w:rsidRDefault="000C7344" w:rsidP="000C7344">
      <w:pPr>
        <w:spacing w:line="360" w:lineRule="atLeast"/>
        <w:ind w:firstLine="2835"/>
        <w:jc w:val="both"/>
        <w:rPr>
          <w:b/>
          <w:color w:val="000000"/>
          <w:spacing w:val="10"/>
          <w:sz w:val="26"/>
          <w:szCs w:val="26"/>
        </w:rPr>
      </w:pPr>
      <w:r w:rsidRPr="00596F18">
        <w:rPr>
          <w:b/>
          <w:color w:val="000000"/>
          <w:spacing w:val="10"/>
          <w:sz w:val="26"/>
          <w:szCs w:val="26"/>
        </w:rPr>
        <w:t>Faço saber que a Assembleia Legislativa decreta e eu promulgo a seguinte lei:</w:t>
      </w:r>
    </w:p>
    <w:p w14:paraId="76D4B984" w14:textId="77777777" w:rsidR="000C7344" w:rsidRPr="00596F18" w:rsidRDefault="000C7344" w:rsidP="000C7344">
      <w:pPr>
        <w:spacing w:line="360" w:lineRule="atLeast"/>
        <w:ind w:firstLine="2835"/>
        <w:jc w:val="both"/>
        <w:rPr>
          <w:color w:val="000000"/>
          <w:spacing w:val="10"/>
          <w:sz w:val="26"/>
          <w:szCs w:val="27"/>
        </w:rPr>
      </w:pPr>
    </w:p>
    <w:p w14:paraId="59DDF74F"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 xml:space="preserve">Artigo 1º - </w:t>
      </w:r>
      <w:r w:rsidRPr="00596F18">
        <w:rPr>
          <w:spacing w:val="10"/>
          <w:sz w:val="26"/>
          <w:szCs w:val="26"/>
        </w:rPr>
        <w:t>Fica o Poder Executivo autorizado a contratar operações de crédito junto a instituições financeiras nacionais ou internacionais, organismos multilaterais ou bilaterais de crédito, agências de fomento, bancos privados nacionais ou internacionais, agência multilateral de garantia de financiamentos, cujos recursos serão aplicados, obrigatoriamente, na execução total ou parcial dos seguintes projetos, observada a legislação vigente, em especial as disposições da Lei Complementar federal n° 101, de 4 de maio de 2000:</w:t>
      </w:r>
    </w:p>
    <w:p w14:paraId="3365835E" w14:textId="77777777" w:rsidR="000C7344" w:rsidRPr="00596F18" w:rsidRDefault="000C7344" w:rsidP="000C7344">
      <w:pPr>
        <w:spacing w:line="360" w:lineRule="atLeast"/>
        <w:ind w:firstLine="2835"/>
        <w:jc w:val="both"/>
        <w:rPr>
          <w:spacing w:val="10"/>
          <w:sz w:val="26"/>
          <w:szCs w:val="26"/>
        </w:rPr>
      </w:pPr>
    </w:p>
    <w:p w14:paraId="586D75AE"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 xml:space="preserve">I </w:t>
      </w:r>
      <w:r>
        <w:rPr>
          <w:b/>
          <w:bCs/>
          <w:spacing w:val="10"/>
          <w:sz w:val="26"/>
          <w:szCs w:val="26"/>
        </w:rPr>
        <w:t>-</w:t>
      </w:r>
      <w:r w:rsidRPr="00596F18">
        <w:rPr>
          <w:spacing w:val="10"/>
          <w:sz w:val="26"/>
          <w:szCs w:val="26"/>
        </w:rPr>
        <w:t xml:space="preserve"> “Obras Civis para Expansão da Linha 2 Verde”, até o valor de R$ 2.400.000.000,00 (dois bilhões e quatrocentos milhões de reais);</w:t>
      </w:r>
    </w:p>
    <w:p w14:paraId="7A486774" w14:textId="77777777" w:rsidR="000C7344" w:rsidRPr="00596F18" w:rsidRDefault="000C7344" w:rsidP="000C7344">
      <w:pPr>
        <w:spacing w:line="360" w:lineRule="atLeast"/>
        <w:ind w:firstLine="2835"/>
        <w:jc w:val="both"/>
        <w:rPr>
          <w:spacing w:val="10"/>
          <w:sz w:val="26"/>
          <w:szCs w:val="26"/>
        </w:rPr>
      </w:pPr>
    </w:p>
    <w:p w14:paraId="46B5C5C6"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 xml:space="preserve">II </w:t>
      </w:r>
      <w:r>
        <w:rPr>
          <w:b/>
          <w:bCs/>
          <w:spacing w:val="10"/>
          <w:sz w:val="26"/>
          <w:szCs w:val="26"/>
        </w:rPr>
        <w:t>-</w:t>
      </w:r>
      <w:r w:rsidRPr="00596F18">
        <w:rPr>
          <w:spacing w:val="10"/>
          <w:sz w:val="26"/>
          <w:szCs w:val="26"/>
        </w:rPr>
        <w:t xml:space="preserve"> “Projeto do Estado de São Paulo - Expansão da Linha 2-Verde, Aquisição de Sistemas de Sinalização, Alimentação Elétrica, Auxiliares e Telecomunicações”, até o valor de US$ 250.000.000,00 (duzentos e cinquenta milhões de dólares dos Estados Unidos da América).</w:t>
      </w:r>
    </w:p>
    <w:p w14:paraId="467127DA" w14:textId="77777777" w:rsidR="000C7344" w:rsidRPr="00596F18" w:rsidRDefault="000C7344" w:rsidP="000C7344">
      <w:pPr>
        <w:spacing w:line="360" w:lineRule="atLeast"/>
        <w:ind w:firstLine="2835"/>
        <w:jc w:val="both"/>
        <w:rPr>
          <w:spacing w:val="10"/>
          <w:sz w:val="26"/>
          <w:szCs w:val="26"/>
        </w:rPr>
      </w:pPr>
    </w:p>
    <w:p w14:paraId="7E12B7C0"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2º -</w:t>
      </w:r>
      <w:r w:rsidRPr="00596F18">
        <w:rPr>
          <w:spacing w:val="10"/>
          <w:sz w:val="26"/>
          <w:szCs w:val="26"/>
        </w:rPr>
        <w:t xml:space="preserve"> As taxas de câmbio, juros, os prazos, as comissões e os demais encargos relativos às operações de crédito autorizadas pelo artigo 1º desta lei serão os vigentes à época das contratações dos respectivos empréstimos e das eventuais repactuações, admitidos pelo Banco Central do Brasil para registro de operações da espécie, obedecidas as demais prescrições e normas.</w:t>
      </w:r>
    </w:p>
    <w:p w14:paraId="2F202D9F" w14:textId="77777777" w:rsidR="000C7344" w:rsidRPr="00596F18" w:rsidRDefault="000C7344" w:rsidP="000C7344">
      <w:pPr>
        <w:spacing w:line="360" w:lineRule="atLeast"/>
        <w:ind w:firstLine="2835"/>
        <w:jc w:val="both"/>
        <w:rPr>
          <w:spacing w:val="10"/>
          <w:sz w:val="26"/>
          <w:szCs w:val="26"/>
        </w:rPr>
      </w:pPr>
    </w:p>
    <w:p w14:paraId="008303C2"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3º -</w:t>
      </w:r>
      <w:r w:rsidRPr="00596F18">
        <w:rPr>
          <w:spacing w:val="10"/>
          <w:sz w:val="26"/>
          <w:szCs w:val="26"/>
        </w:rPr>
        <w:t xml:space="preserve"> Os recursos provenientes das operações de crédito de que trata o artigo 1º desta lei serão consignados como receita no </w:t>
      </w:r>
      <w:r w:rsidRPr="00596F18">
        <w:rPr>
          <w:spacing w:val="10"/>
          <w:sz w:val="26"/>
          <w:szCs w:val="26"/>
        </w:rPr>
        <w:lastRenderedPageBreak/>
        <w:t>orçamento do Estado, ou em créditos adicionais, nos termos do inciso II do § 1º do artigo 32 da Lei Complementar federal nº 101, de 4 de maio de 2000, ficando o Poder Executivo autorizado a adotar as providências que se fizerem necessárias.</w:t>
      </w:r>
    </w:p>
    <w:p w14:paraId="3D33D888" w14:textId="77777777" w:rsidR="000C7344" w:rsidRPr="00596F18" w:rsidRDefault="000C7344" w:rsidP="000C7344">
      <w:pPr>
        <w:spacing w:line="360" w:lineRule="atLeast"/>
        <w:ind w:firstLine="2835"/>
        <w:jc w:val="both"/>
        <w:rPr>
          <w:spacing w:val="10"/>
          <w:sz w:val="26"/>
          <w:szCs w:val="26"/>
        </w:rPr>
      </w:pPr>
    </w:p>
    <w:p w14:paraId="0906B5F3"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Parágrafo único -</w:t>
      </w:r>
      <w:r w:rsidRPr="00596F18">
        <w:rPr>
          <w:spacing w:val="10"/>
          <w:sz w:val="26"/>
          <w:szCs w:val="26"/>
        </w:rPr>
        <w:t xml:space="preserve"> Fica o Poder Executivo autorizado a abrir créditos suplementares ou especiais, por meio de decreto, na forma dos artigos 42 e 43, § 1º, inciso IV, da Lei federal nº 4.320, de 17 de março de 1964.</w:t>
      </w:r>
    </w:p>
    <w:p w14:paraId="617ED05D" w14:textId="77777777" w:rsidR="000C7344" w:rsidRPr="00596F18" w:rsidRDefault="000C7344" w:rsidP="000C7344">
      <w:pPr>
        <w:spacing w:line="360" w:lineRule="atLeast"/>
        <w:ind w:firstLine="2835"/>
        <w:jc w:val="both"/>
        <w:rPr>
          <w:spacing w:val="10"/>
          <w:sz w:val="26"/>
          <w:szCs w:val="26"/>
        </w:rPr>
      </w:pPr>
    </w:p>
    <w:p w14:paraId="590C7C9D"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4º -</w:t>
      </w:r>
      <w:r w:rsidRPr="00596F18">
        <w:rPr>
          <w:spacing w:val="10"/>
          <w:sz w:val="26"/>
          <w:szCs w:val="26"/>
        </w:rPr>
        <w:t xml:space="preserve"> Anualmente, o orçamento ou os créditos adicionais deverão consignar as dotações necessárias para as amortizações e os pagamentos dos encargos relativos às operações de crédito previstas no artigo 1º desta lei.</w:t>
      </w:r>
    </w:p>
    <w:p w14:paraId="4F158467" w14:textId="77777777" w:rsidR="000C7344" w:rsidRPr="00596F18" w:rsidRDefault="000C7344" w:rsidP="000C7344">
      <w:pPr>
        <w:spacing w:line="360" w:lineRule="atLeast"/>
        <w:ind w:firstLine="2835"/>
        <w:jc w:val="both"/>
        <w:rPr>
          <w:spacing w:val="10"/>
          <w:sz w:val="26"/>
          <w:szCs w:val="26"/>
        </w:rPr>
      </w:pPr>
    </w:p>
    <w:p w14:paraId="07853671"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5º -</w:t>
      </w:r>
      <w:r w:rsidRPr="00596F18">
        <w:rPr>
          <w:spacing w:val="10"/>
          <w:sz w:val="26"/>
          <w:szCs w:val="26"/>
        </w:rPr>
        <w:t xml:space="preserve"> Fica o Chefe do Poder Executivo autorizado a abrir créditos adicionais destinados aos pagamentos de:</w:t>
      </w:r>
    </w:p>
    <w:p w14:paraId="1C864A6B" w14:textId="77777777" w:rsidR="000C7344" w:rsidRPr="00596F18" w:rsidRDefault="000C7344" w:rsidP="000C7344">
      <w:pPr>
        <w:spacing w:line="360" w:lineRule="atLeast"/>
        <w:ind w:firstLine="2835"/>
        <w:jc w:val="both"/>
        <w:rPr>
          <w:spacing w:val="10"/>
          <w:sz w:val="26"/>
          <w:szCs w:val="26"/>
        </w:rPr>
      </w:pPr>
    </w:p>
    <w:p w14:paraId="66E1BBA4"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I -</w:t>
      </w:r>
      <w:r w:rsidRPr="00596F18">
        <w:rPr>
          <w:spacing w:val="10"/>
          <w:sz w:val="26"/>
          <w:szCs w:val="26"/>
        </w:rPr>
        <w:t xml:space="preserve"> </w:t>
      </w:r>
      <w:proofErr w:type="gramStart"/>
      <w:r w:rsidRPr="00596F18">
        <w:rPr>
          <w:spacing w:val="10"/>
          <w:sz w:val="26"/>
          <w:szCs w:val="26"/>
        </w:rPr>
        <w:t>obrigações</w:t>
      </w:r>
      <w:proofErr w:type="gramEnd"/>
      <w:r w:rsidRPr="00596F18">
        <w:rPr>
          <w:spacing w:val="10"/>
          <w:sz w:val="26"/>
          <w:szCs w:val="26"/>
        </w:rPr>
        <w:t xml:space="preserve"> decorrentes das operações de crédito autorizadas pelo artigo 1º desta lei;</w:t>
      </w:r>
    </w:p>
    <w:p w14:paraId="7CE87B6F" w14:textId="77777777" w:rsidR="000C7344" w:rsidRPr="00596F18" w:rsidRDefault="000C7344" w:rsidP="000C7344">
      <w:pPr>
        <w:spacing w:line="360" w:lineRule="atLeast"/>
        <w:ind w:firstLine="2835"/>
        <w:jc w:val="both"/>
        <w:rPr>
          <w:spacing w:val="10"/>
          <w:sz w:val="26"/>
          <w:szCs w:val="26"/>
        </w:rPr>
      </w:pPr>
    </w:p>
    <w:p w14:paraId="7DD45100"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II -</w:t>
      </w:r>
      <w:r w:rsidRPr="00596F18">
        <w:rPr>
          <w:spacing w:val="10"/>
          <w:sz w:val="26"/>
          <w:szCs w:val="26"/>
        </w:rPr>
        <w:t xml:space="preserve"> </w:t>
      </w:r>
      <w:proofErr w:type="gramStart"/>
      <w:r w:rsidRPr="00596F18">
        <w:rPr>
          <w:spacing w:val="10"/>
          <w:sz w:val="26"/>
          <w:szCs w:val="26"/>
        </w:rPr>
        <w:t>despesas</w:t>
      </w:r>
      <w:proofErr w:type="gramEnd"/>
      <w:r w:rsidRPr="00596F18">
        <w:rPr>
          <w:spacing w:val="10"/>
          <w:sz w:val="26"/>
          <w:szCs w:val="26"/>
        </w:rPr>
        <w:t xml:space="preserve"> custeadas com os recursos obtidos por meio das operações de crédito contratadas, nos termos do artigo 1º desta lei.</w:t>
      </w:r>
    </w:p>
    <w:p w14:paraId="55345A9E" w14:textId="77777777" w:rsidR="000C7344" w:rsidRPr="00596F18" w:rsidRDefault="000C7344" w:rsidP="000C7344">
      <w:pPr>
        <w:spacing w:line="360" w:lineRule="atLeast"/>
        <w:ind w:firstLine="2835"/>
        <w:jc w:val="both"/>
        <w:rPr>
          <w:spacing w:val="10"/>
          <w:sz w:val="26"/>
          <w:szCs w:val="26"/>
        </w:rPr>
      </w:pPr>
    </w:p>
    <w:p w14:paraId="548555B6"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6º -</w:t>
      </w:r>
      <w:r w:rsidRPr="00596F18">
        <w:rPr>
          <w:spacing w:val="10"/>
          <w:sz w:val="26"/>
          <w:szCs w:val="26"/>
        </w:rPr>
        <w:t xml:space="preserve"> As operações de crédito autorizadas por esta lei poderão ser garantidas diretamente pelo Estado, ou pela União, com contragarantia do Estado.</w:t>
      </w:r>
    </w:p>
    <w:p w14:paraId="1A35F9B1" w14:textId="77777777" w:rsidR="000C7344" w:rsidRPr="00596F18" w:rsidRDefault="000C7344" w:rsidP="000C7344">
      <w:pPr>
        <w:spacing w:line="360" w:lineRule="atLeast"/>
        <w:ind w:firstLine="2835"/>
        <w:jc w:val="both"/>
        <w:rPr>
          <w:spacing w:val="10"/>
          <w:sz w:val="26"/>
          <w:szCs w:val="26"/>
        </w:rPr>
      </w:pPr>
    </w:p>
    <w:p w14:paraId="23B8B539"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7º -</w:t>
      </w:r>
      <w:r w:rsidRPr="00596F18">
        <w:rPr>
          <w:spacing w:val="10"/>
          <w:sz w:val="26"/>
          <w:szCs w:val="26"/>
        </w:rPr>
        <w:t xml:space="preserve"> Para assegurar o pagamento integral das operações de crédito contratadas nos termos desta lei, fica o Poder Executivo autorizado a constituir as garantias admitidas em direito.</w:t>
      </w:r>
    </w:p>
    <w:p w14:paraId="000D0ED9" w14:textId="77777777" w:rsidR="000C7344" w:rsidRPr="00596F18" w:rsidRDefault="000C7344" w:rsidP="000C7344">
      <w:pPr>
        <w:spacing w:line="360" w:lineRule="atLeast"/>
        <w:ind w:firstLine="2835"/>
        <w:jc w:val="both"/>
        <w:rPr>
          <w:spacing w:val="10"/>
          <w:sz w:val="26"/>
          <w:szCs w:val="26"/>
        </w:rPr>
      </w:pPr>
    </w:p>
    <w:p w14:paraId="0FFF44B8"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Artigo 8º -</w:t>
      </w:r>
      <w:r w:rsidRPr="00596F18">
        <w:rPr>
          <w:spacing w:val="10"/>
          <w:sz w:val="26"/>
          <w:szCs w:val="26"/>
        </w:rPr>
        <w:t xml:space="preserve"> Fica o Poder Executivo autorizado a vincular, como contragarantia à garantia da União às operações de crédito de que trata esta lei, em caráter irrevogável e irretratável, a modo “pro solvendo”, as receitas discriminadas no § 4º do artigo 167 da Constituição Federal, no que couber, bem como outras garantias admitidas em direito.</w:t>
      </w:r>
    </w:p>
    <w:p w14:paraId="4EFC0EED" w14:textId="77777777" w:rsidR="000C7344" w:rsidRPr="00596F18" w:rsidRDefault="000C7344" w:rsidP="000C7344">
      <w:pPr>
        <w:spacing w:line="360" w:lineRule="atLeast"/>
        <w:ind w:firstLine="2835"/>
        <w:jc w:val="both"/>
        <w:rPr>
          <w:spacing w:val="10"/>
          <w:sz w:val="26"/>
          <w:szCs w:val="26"/>
        </w:rPr>
      </w:pPr>
    </w:p>
    <w:p w14:paraId="36D5778E"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lastRenderedPageBreak/>
        <w:t>Artigo 9º -</w:t>
      </w:r>
      <w:r w:rsidRPr="00596F18">
        <w:rPr>
          <w:spacing w:val="10"/>
          <w:sz w:val="26"/>
          <w:szCs w:val="26"/>
        </w:rPr>
        <w:t xml:space="preserve"> O negócio jurídico de cessão ou constituição de garantias celebrado pelo Estado deverá atender às condições usualmente praticadas pela instituição financeira credora, podendo prever, entre outras, as seguintes disposições:</w:t>
      </w:r>
    </w:p>
    <w:p w14:paraId="3658419A" w14:textId="77777777" w:rsidR="000C7344" w:rsidRPr="00596F18" w:rsidRDefault="000C7344" w:rsidP="000C7344">
      <w:pPr>
        <w:spacing w:line="360" w:lineRule="atLeast"/>
        <w:ind w:firstLine="2835"/>
        <w:jc w:val="both"/>
        <w:rPr>
          <w:spacing w:val="10"/>
          <w:sz w:val="26"/>
          <w:szCs w:val="26"/>
        </w:rPr>
      </w:pPr>
    </w:p>
    <w:p w14:paraId="72D98191"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I -</w:t>
      </w:r>
      <w:r w:rsidRPr="00596F18">
        <w:rPr>
          <w:spacing w:val="10"/>
          <w:sz w:val="26"/>
          <w:szCs w:val="26"/>
        </w:rPr>
        <w:t xml:space="preserve"> </w:t>
      </w:r>
      <w:proofErr w:type="gramStart"/>
      <w:r w:rsidRPr="00596F18">
        <w:rPr>
          <w:spacing w:val="10"/>
          <w:sz w:val="26"/>
          <w:szCs w:val="26"/>
        </w:rPr>
        <w:t>sub-rogação</w:t>
      </w:r>
      <w:proofErr w:type="gramEnd"/>
      <w:r w:rsidRPr="00596F18">
        <w:rPr>
          <w:spacing w:val="10"/>
          <w:sz w:val="26"/>
          <w:szCs w:val="26"/>
        </w:rPr>
        <w:t xml:space="preserve"> automática da vinculação em garantia ou da cessão sobre os direitos e créditos que venham a substituir os impostos referidos no artigo 159, inciso I, alínea “a”, e inciso II, da Constituição Federal, no caso de sua extinção, assim como em relação aos novos fundos que sejam criados em substituição;</w:t>
      </w:r>
    </w:p>
    <w:p w14:paraId="1D4C829A" w14:textId="77777777" w:rsidR="000C7344" w:rsidRPr="00596F18" w:rsidRDefault="000C7344" w:rsidP="000C7344">
      <w:pPr>
        <w:spacing w:line="360" w:lineRule="atLeast"/>
        <w:ind w:firstLine="2835"/>
        <w:jc w:val="both"/>
        <w:rPr>
          <w:spacing w:val="10"/>
          <w:sz w:val="26"/>
          <w:szCs w:val="26"/>
        </w:rPr>
      </w:pPr>
    </w:p>
    <w:p w14:paraId="1B3B0937"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II -</w:t>
      </w:r>
      <w:r w:rsidRPr="00596F18">
        <w:rPr>
          <w:spacing w:val="10"/>
          <w:sz w:val="26"/>
          <w:szCs w:val="26"/>
        </w:rPr>
        <w:t xml:space="preserve"> </w:t>
      </w:r>
      <w:proofErr w:type="gramStart"/>
      <w:r w:rsidRPr="00596F18">
        <w:rPr>
          <w:spacing w:val="10"/>
          <w:sz w:val="26"/>
          <w:szCs w:val="26"/>
        </w:rPr>
        <w:t>outorga</w:t>
      </w:r>
      <w:proofErr w:type="gramEnd"/>
      <w:r w:rsidRPr="00596F18">
        <w:rPr>
          <w:spacing w:val="10"/>
          <w:sz w:val="26"/>
          <w:szCs w:val="26"/>
        </w:rPr>
        <w:t xml:space="preserve"> de poderes ao credor para cobrar e receber diretamente da União ou do banco centralizador que faça as vezes de seu agente financeiro, os direitos e créditos dados em garantia, até o montante necessário ao pagamento integral das parcelas da dívida vencidas e não pagas, incluindo os respectivos acessórios, no caso de inadimplemento do Estado;</w:t>
      </w:r>
    </w:p>
    <w:p w14:paraId="42DD5075" w14:textId="77777777" w:rsidR="000C7344" w:rsidRPr="00596F18" w:rsidRDefault="000C7344" w:rsidP="000C7344">
      <w:pPr>
        <w:spacing w:line="360" w:lineRule="atLeast"/>
        <w:ind w:firstLine="2835"/>
        <w:jc w:val="both"/>
        <w:rPr>
          <w:spacing w:val="10"/>
          <w:sz w:val="26"/>
          <w:szCs w:val="26"/>
        </w:rPr>
      </w:pPr>
    </w:p>
    <w:p w14:paraId="3F646B4D" w14:textId="77777777" w:rsidR="000C7344" w:rsidRPr="00596F18" w:rsidRDefault="000C7344" w:rsidP="000C7344">
      <w:pPr>
        <w:spacing w:line="360" w:lineRule="atLeast"/>
        <w:ind w:firstLine="2835"/>
        <w:jc w:val="both"/>
        <w:rPr>
          <w:spacing w:val="10"/>
          <w:sz w:val="26"/>
          <w:szCs w:val="26"/>
        </w:rPr>
      </w:pPr>
      <w:r w:rsidRPr="00596F18">
        <w:rPr>
          <w:b/>
          <w:bCs/>
          <w:spacing w:val="10"/>
          <w:sz w:val="26"/>
          <w:szCs w:val="26"/>
        </w:rPr>
        <w:t>III -</w:t>
      </w:r>
      <w:r w:rsidRPr="00596F18">
        <w:rPr>
          <w:spacing w:val="10"/>
          <w:sz w:val="26"/>
          <w:szCs w:val="26"/>
        </w:rPr>
        <w:t xml:space="preserve"> outorga de poderes ao credor para cobrar e receber diretamente da União ou do banco centralizador que faça as vezes de seu agente financeiro, os direitos e créditos que tenham sido objeto de cessão, na data de vencimento das parcelas da dívida de responsabilidade do Estado, até o limite do valor devido, incluindo os respectivos acessórios.</w:t>
      </w:r>
    </w:p>
    <w:p w14:paraId="0A7537CD" w14:textId="77777777" w:rsidR="000C7344" w:rsidRPr="00596F18" w:rsidRDefault="000C7344" w:rsidP="000C7344">
      <w:pPr>
        <w:spacing w:line="360" w:lineRule="atLeast"/>
        <w:ind w:firstLine="2835"/>
        <w:jc w:val="both"/>
        <w:rPr>
          <w:spacing w:val="10"/>
          <w:sz w:val="26"/>
          <w:szCs w:val="26"/>
        </w:rPr>
      </w:pPr>
    </w:p>
    <w:p w14:paraId="4DEA6A3F" w14:textId="77777777" w:rsidR="000C7344" w:rsidRPr="00596F18" w:rsidRDefault="000C7344" w:rsidP="000C7344">
      <w:pPr>
        <w:autoSpaceDE w:val="0"/>
        <w:autoSpaceDN w:val="0"/>
        <w:adjustRightInd w:val="0"/>
        <w:spacing w:line="360" w:lineRule="atLeast"/>
        <w:ind w:firstLine="2835"/>
        <w:jc w:val="both"/>
        <w:rPr>
          <w:spacing w:val="10"/>
          <w:sz w:val="26"/>
          <w:szCs w:val="26"/>
        </w:rPr>
      </w:pPr>
      <w:r w:rsidRPr="00596F18">
        <w:rPr>
          <w:b/>
          <w:bCs/>
          <w:spacing w:val="10"/>
          <w:sz w:val="26"/>
          <w:szCs w:val="26"/>
        </w:rPr>
        <w:t>Artigo 10</w:t>
      </w:r>
      <w:r w:rsidRPr="00596F18">
        <w:rPr>
          <w:spacing w:val="10"/>
          <w:sz w:val="26"/>
          <w:szCs w:val="26"/>
        </w:rPr>
        <w:t xml:space="preserve"> </w:t>
      </w:r>
      <w:r>
        <w:rPr>
          <w:spacing w:val="10"/>
          <w:sz w:val="26"/>
          <w:szCs w:val="26"/>
        </w:rPr>
        <w:t>-</w:t>
      </w:r>
      <w:r w:rsidRPr="00596F18">
        <w:rPr>
          <w:spacing w:val="10"/>
          <w:sz w:val="26"/>
          <w:szCs w:val="26"/>
        </w:rPr>
        <w:t xml:space="preserve"> O parágrafo único do artigo 8º da Lei nº 17.386, de 14 de julho de 2021, passa a vigorar com a seguinte redação:</w:t>
      </w:r>
    </w:p>
    <w:p w14:paraId="34FAC443" w14:textId="77777777" w:rsidR="000C7344" w:rsidRPr="00596F18" w:rsidRDefault="000C7344" w:rsidP="000C7344">
      <w:pPr>
        <w:autoSpaceDE w:val="0"/>
        <w:autoSpaceDN w:val="0"/>
        <w:adjustRightInd w:val="0"/>
        <w:spacing w:line="360" w:lineRule="atLeast"/>
        <w:ind w:firstLine="2835"/>
        <w:jc w:val="both"/>
        <w:rPr>
          <w:spacing w:val="10"/>
          <w:sz w:val="26"/>
          <w:szCs w:val="26"/>
        </w:rPr>
      </w:pPr>
    </w:p>
    <w:p w14:paraId="1347FBDC" w14:textId="77777777" w:rsidR="000C7344" w:rsidRPr="00596F18" w:rsidRDefault="000C7344" w:rsidP="000C7344">
      <w:pPr>
        <w:autoSpaceDE w:val="0"/>
        <w:autoSpaceDN w:val="0"/>
        <w:adjustRightInd w:val="0"/>
        <w:spacing w:line="320" w:lineRule="atLeast"/>
        <w:ind w:left="1134" w:firstLine="1701"/>
        <w:jc w:val="both"/>
        <w:rPr>
          <w:spacing w:val="10"/>
          <w:sz w:val="26"/>
          <w:szCs w:val="26"/>
        </w:rPr>
      </w:pPr>
      <w:r w:rsidRPr="00596F18">
        <w:rPr>
          <w:spacing w:val="10"/>
          <w:sz w:val="26"/>
          <w:szCs w:val="26"/>
        </w:rPr>
        <w:t>“Parágrafo único - Fica o Poder Executivo autorizado a vincular, como contragarantia à garantia da União às operações de crédito de que trata esta lei, em caráter irrevogável e irretratável, a modo “pro solvendo”, as receitas discriminadas no § 4º do artigo 167 da Constituição Federal, no que couber, bem como outras garantias admitidas em direito”. (NR)</w:t>
      </w:r>
    </w:p>
    <w:p w14:paraId="4B95DF44" w14:textId="77777777" w:rsidR="000C7344" w:rsidRPr="00596F18" w:rsidRDefault="000C7344" w:rsidP="000C7344">
      <w:pPr>
        <w:autoSpaceDE w:val="0"/>
        <w:autoSpaceDN w:val="0"/>
        <w:adjustRightInd w:val="0"/>
        <w:spacing w:line="360" w:lineRule="atLeast"/>
        <w:ind w:firstLine="2835"/>
        <w:jc w:val="both"/>
        <w:rPr>
          <w:spacing w:val="10"/>
          <w:sz w:val="26"/>
          <w:szCs w:val="26"/>
        </w:rPr>
      </w:pPr>
    </w:p>
    <w:p w14:paraId="57F9E303" w14:textId="4FA32452" w:rsidR="000D76D2" w:rsidRPr="009560A7" w:rsidRDefault="000C7344" w:rsidP="000C7344">
      <w:pPr>
        <w:pStyle w:val="Autgrafo-corpo"/>
        <w:spacing w:line="360" w:lineRule="atLeast"/>
        <w:ind w:firstLine="2835"/>
        <w:rPr>
          <w:color w:val="000000"/>
          <w:spacing w:val="10"/>
          <w:sz w:val="26"/>
          <w:szCs w:val="26"/>
        </w:rPr>
      </w:pPr>
      <w:r w:rsidRPr="00596F18">
        <w:rPr>
          <w:b/>
          <w:bCs/>
          <w:spacing w:val="10"/>
          <w:sz w:val="26"/>
          <w:szCs w:val="26"/>
        </w:rPr>
        <w:t>Artigo 11</w:t>
      </w:r>
      <w:r w:rsidRPr="00596F18">
        <w:rPr>
          <w:spacing w:val="10"/>
          <w:sz w:val="26"/>
          <w:szCs w:val="26"/>
        </w:rPr>
        <w:t xml:space="preserve"> </w:t>
      </w:r>
      <w:r>
        <w:rPr>
          <w:spacing w:val="10"/>
          <w:sz w:val="26"/>
          <w:szCs w:val="26"/>
        </w:rPr>
        <w:t>-</w:t>
      </w:r>
      <w:r w:rsidRPr="00596F18">
        <w:rPr>
          <w:b/>
          <w:bCs/>
          <w:spacing w:val="10"/>
          <w:sz w:val="26"/>
          <w:szCs w:val="26"/>
        </w:rPr>
        <w:t xml:space="preserve"> </w:t>
      </w:r>
      <w:r w:rsidRPr="00596F18">
        <w:rPr>
          <w:spacing w:val="10"/>
          <w:sz w:val="26"/>
          <w:szCs w:val="26"/>
        </w:rPr>
        <w:t>Esta lei entra em vigor na data de sua publicação.</w:t>
      </w:r>
    </w:p>
    <w:p w14:paraId="2886D876" w14:textId="77777777" w:rsidR="000D76D2" w:rsidRPr="009560A7" w:rsidRDefault="000D76D2" w:rsidP="00071BC2">
      <w:pPr>
        <w:pStyle w:val="NormalWeb"/>
        <w:spacing w:before="0" w:beforeAutospacing="0" w:after="0" w:afterAutospacing="0" w:line="360" w:lineRule="atLeast"/>
        <w:ind w:firstLine="2835"/>
        <w:jc w:val="both"/>
        <w:rPr>
          <w:color w:val="000000"/>
          <w:spacing w:val="10"/>
          <w:sz w:val="26"/>
          <w:szCs w:val="26"/>
        </w:rPr>
      </w:pPr>
    </w:p>
    <w:p w14:paraId="582AEFB2" w14:textId="68B8BA4B" w:rsidR="000D76D2" w:rsidRPr="00B71087" w:rsidRDefault="000D76D2" w:rsidP="00071BC2">
      <w:pPr>
        <w:pStyle w:val="NormalWeb"/>
        <w:spacing w:before="0" w:beforeAutospacing="0" w:after="0" w:afterAutospacing="0" w:line="360" w:lineRule="atLeast"/>
        <w:ind w:firstLine="2835"/>
        <w:jc w:val="both"/>
        <w:rPr>
          <w:b/>
          <w:bCs/>
          <w:color w:val="000000"/>
          <w:spacing w:val="10"/>
          <w:sz w:val="26"/>
          <w:szCs w:val="26"/>
        </w:rPr>
      </w:pPr>
      <w:r w:rsidRPr="00B71087">
        <w:rPr>
          <w:b/>
          <w:bCs/>
          <w:color w:val="000000"/>
          <w:spacing w:val="10"/>
          <w:sz w:val="26"/>
          <w:szCs w:val="26"/>
        </w:rPr>
        <w:t>Palácio dos Bandeirantes,</w:t>
      </w:r>
      <w:r w:rsidR="00503072">
        <w:rPr>
          <w:b/>
          <w:bCs/>
          <w:color w:val="000000"/>
          <w:spacing w:val="10"/>
          <w:sz w:val="26"/>
          <w:szCs w:val="26"/>
        </w:rPr>
        <w:t xml:space="preserve"> </w:t>
      </w:r>
      <w:r w:rsidR="004055EA">
        <w:rPr>
          <w:b/>
          <w:bCs/>
          <w:color w:val="000000"/>
          <w:spacing w:val="10"/>
          <w:sz w:val="26"/>
          <w:szCs w:val="26"/>
        </w:rPr>
        <w:t>na data da assinatura digital</w:t>
      </w:r>
      <w:r>
        <w:rPr>
          <w:b/>
          <w:bCs/>
          <w:color w:val="000000"/>
          <w:spacing w:val="10"/>
          <w:sz w:val="26"/>
          <w:szCs w:val="26"/>
        </w:rPr>
        <w:t>.</w:t>
      </w:r>
    </w:p>
    <w:p w14:paraId="023A6EC9" w14:textId="77777777" w:rsidR="000D76D2" w:rsidRPr="00B71087" w:rsidRDefault="000D76D2" w:rsidP="00071BC2">
      <w:pPr>
        <w:pStyle w:val="NormalWeb"/>
        <w:spacing w:before="0" w:beforeAutospacing="0" w:after="0" w:afterAutospacing="0" w:line="360" w:lineRule="atLeast"/>
        <w:ind w:firstLine="2835"/>
        <w:jc w:val="both"/>
        <w:rPr>
          <w:b/>
          <w:bCs/>
          <w:color w:val="000000"/>
          <w:spacing w:val="10"/>
          <w:sz w:val="26"/>
          <w:szCs w:val="26"/>
        </w:rPr>
      </w:pPr>
    </w:p>
    <w:p w14:paraId="2A0086F7" w14:textId="77777777" w:rsidR="00066C7B" w:rsidRDefault="00066C7B" w:rsidP="00071BC2">
      <w:pPr>
        <w:pStyle w:val="NormalWeb"/>
        <w:spacing w:before="0" w:beforeAutospacing="0" w:after="0" w:afterAutospacing="0" w:line="360" w:lineRule="atLeast"/>
        <w:ind w:firstLine="2835"/>
        <w:jc w:val="both"/>
        <w:rPr>
          <w:b/>
          <w:bCs/>
          <w:color w:val="000000"/>
          <w:spacing w:val="10"/>
          <w:sz w:val="26"/>
          <w:szCs w:val="26"/>
        </w:rPr>
      </w:pPr>
    </w:p>
    <w:p w14:paraId="1F4DAF10" w14:textId="03995B0B" w:rsidR="00060449" w:rsidRDefault="000D76D2" w:rsidP="00071BC2">
      <w:pPr>
        <w:pStyle w:val="NormalWeb"/>
        <w:spacing w:before="0" w:beforeAutospacing="0" w:after="0" w:afterAutospacing="0" w:line="360" w:lineRule="atLeast"/>
        <w:jc w:val="center"/>
        <w:rPr>
          <w:b/>
          <w:bCs/>
          <w:color w:val="000000"/>
          <w:spacing w:val="10"/>
          <w:sz w:val="26"/>
          <w:szCs w:val="26"/>
        </w:rPr>
      </w:pPr>
      <w:r w:rsidRPr="00B71087">
        <w:rPr>
          <w:b/>
          <w:bCs/>
          <w:color w:val="000000"/>
          <w:spacing w:val="10"/>
          <w:sz w:val="26"/>
          <w:szCs w:val="26"/>
        </w:rPr>
        <w:t>Tarcísio de Freitas</w:t>
      </w:r>
    </w:p>
    <w:p w14:paraId="5C77F86D" w14:textId="77777777" w:rsidR="006F0574" w:rsidRDefault="006F0574" w:rsidP="00071BC2">
      <w:pPr>
        <w:pStyle w:val="NormalWeb"/>
        <w:spacing w:before="0" w:beforeAutospacing="0" w:after="0" w:afterAutospacing="0" w:line="360" w:lineRule="atLeast"/>
        <w:jc w:val="center"/>
        <w:rPr>
          <w:b/>
          <w:bCs/>
          <w:color w:val="000000"/>
          <w:spacing w:val="10"/>
          <w:sz w:val="26"/>
          <w:szCs w:val="26"/>
        </w:rPr>
      </w:pPr>
    </w:p>
    <w:p w14:paraId="008AC7E1" w14:textId="77777777" w:rsidR="006F0574" w:rsidRDefault="006F0574" w:rsidP="00071BC2">
      <w:pPr>
        <w:pStyle w:val="NormalWeb"/>
        <w:spacing w:before="0" w:beforeAutospacing="0" w:after="0" w:afterAutospacing="0" w:line="360" w:lineRule="atLeast"/>
        <w:jc w:val="center"/>
        <w:rPr>
          <w:b/>
          <w:bCs/>
          <w:color w:val="000000"/>
          <w:spacing w:val="10"/>
          <w:sz w:val="26"/>
          <w:szCs w:val="26"/>
        </w:rPr>
      </w:pPr>
    </w:p>
    <w:p w14:paraId="71569808" w14:textId="77777777" w:rsidR="00577522" w:rsidRPr="007D45D4" w:rsidRDefault="00577522" w:rsidP="00577522">
      <w:pPr>
        <w:pStyle w:val="NormalWeb"/>
        <w:spacing w:before="0" w:beforeAutospacing="0" w:after="0" w:afterAutospacing="0"/>
        <w:jc w:val="both"/>
        <w:rPr>
          <w:color w:val="000000"/>
          <w:spacing w:val="10"/>
          <w:sz w:val="26"/>
          <w:szCs w:val="26"/>
        </w:rPr>
      </w:pPr>
      <w:r w:rsidRPr="007D45D4">
        <w:rPr>
          <w:spacing w:val="10"/>
          <w:sz w:val="26"/>
          <w:szCs w:val="26"/>
        </w:rPr>
        <w:t xml:space="preserve">Samuel Yoshiaki Oliveira </w:t>
      </w:r>
      <w:proofErr w:type="spellStart"/>
      <w:r w:rsidRPr="007D45D4">
        <w:rPr>
          <w:spacing w:val="10"/>
          <w:sz w:val="26"/>
          <w:szCs w:val="26"/>
        </w:rPr>
        <w:t>Kinoshita</w:t>
      </w:r>
      <w:proofErr w:type="spellEnd"/>
    </w:p>
    <w:p w14:paraId="22135A1A" w14:textId="77777777" w:rsidR="00577522" w:rsidRDefault="00577522" w:rsidP="00577522">
      <w:pPr>
        <w:pStyle w:val="NormalWeb"/>
        <w:spacing w:before="0" w:beforeAutospacing="0" w:after="165" w:afterAutospacing="0"/>
        <w:jc w:val="both"/>
        <w:rPr>
          <w:spacing w:val="10"/>
          <w:sz w:val="26"/>
          <w:szCs w:val="26"/>
        </w:rPr>
      </w:pPr>
      <w:r w:rsidRPr="007D45D4">
        <w:rPr>
          <w:spacing w:val="10"/>
          <w:sz w:val="26"/>
          <w:szCs w:val="26"/>
        </w:rPr>
        <w:t>Secretário da Fazenda e Planejamento</w:t>
      </w:r>
    </w:p>
    <w:p w14:paraId="2E035A3B" w14:textId="77777777" w:rsidR="006F0574" w:rsidRDefault="006F0574" w:rsidP="006F0574">
      <w:pPr>
        <w:pStyle w:val="NormalWeb"/>
        <w:spacing w:before="0" w:beforeAutospacing="0" w:after="0" w:afterAutospacing="0"/>
        <w:jc w:val="both"/>
        <w:rPr>
          <w:spacing w:val="10"/>
          <w:sz w:val="26"/>
          <w:szCs w:val="26"/>
        </w:rPr>
      </w:pPr>
      <w:r w:rsidRPr="00DA09FA">
        <w:rPr>
          <w:spacing w:val="10"/>
          <w:sz w:val="26"/>
          <w:szCs w:val="26"/>
        </w:rPr>
        <w:t xml:space="preserve">Marco </w:t>
      </w:r>
      <w:proofErr w:type="spellStart"/>
      <w:r w:rsidRPr="00DA09FA">
        <w:rPr>
          <w:spacing w:val="10"/>
          <w:sz w:val="26"/>
          <w:szCs w:val="26"/>
        </w:rPr>
        <w:t>Antonio</w:t>
      </w:r>
      <w:proofErr w:type="spellEnd"/>
      <w:r w:rsidRPr="00DA09FA">
        <w:rPr>
          <w:spacing w:val="10"/>
          <w:sz w:val="26"/>
          <w:szCs w:val="26"/>
        </w:rPr>
        <w:t xml:space="preserve"> </w:t>
      </w:r>
      <w:proofErr w:type="spellStart"/>
      <w:r w:rsidRPr="00DA09FA">
        <w:rPr>
          <w:spacing w:val="10"/>
          <w:sz w:val="26"/>
          <w:szCs w:val="26"/>
        </w:rPr>
        <w:t>Assalve</w:t>
      </w:r>
      <w:proofErr w:type="spellEnd"/>
    </w:p>
    <w:p w14:paraId="51A94EBE" w14:textId="77777777" w:rsidR="006F0574" w:rsidRPr="00DE1D72" w:rsidRDefault="006F0574" w:rsidP="006F0574">
      <w:pPr>
        <w:spacing w:after="165"/>
        <w:rPr>
          <w:spacing w:val="10"/>
          <w:sz w:val="26"/>
          <w:szCs w:val="26"/>
        </w:rPr>
      </w:pPr>
      <w:r w:rsidRPr="00DA09FA">
        <w:rPr>
          <w:spacing w:val="10"/>
          <w:sz w:val="26"/>
          <w:szCs w:val="26"/>
        </w:rPr>
        <w:t>Secretário</w:t>
      </w:r>
      <w:r>
        <w:rPr>
          <w:spacing w:val="10"/>
          <w:sz w:val="26"/>
          <w:szCs w:val="26"/>
        </w:rPr>
        <w:t xml:space="preserve"> dos </w:t>
      </w:r>
      <w:r w:rsidRPr="00DA09FA">
        <w:rPr>
          <w:spacing w:val="10"/>
          <w:sz w:val="26"/>
          <w:szCs w:val="26"/>
        </w:rPr>
        <w:t xml:space="preserve">Transportes Metropolitanos </w:t>
      </w:r>
    </w:p>
    <w:p w14:paraId="79A184DB" w14:textId="77777777" w:rsidR="0015150E" w:rsidRPr="007D45D4" w:rsidRDefault="0015150E" w:rsidP="0015150E">
      <w:pPr>
        <w:pStyle w:val="NormalWeb"/>
        <w:spacing w:before="0" w:beforeAutospacing="0" w:after="0" w:afterAutospacing="0"/>
        <w:rPr>
          <w:color w:val="000000"/>
          <w:spacing w:val="10"/>
          <w:sz w:val="26"/>
          <w:szCs w:val="26"/>
        </w:rPr>
      </w:pPr>
      <w:r w:rsidRPr="007D45D4">
        <w:rPr>
          <w:color w:val="000000"/>
          <w:spacing w:val="10"/>
          <w:sz w:val="26"/>
          <w:szCs w:val="26"/>
        </w:rPr>
        <w:t>Gilberto Kassab</w:t>
      </w:r>
    </w:p>
    <w:p w14:paraId="4472B414" w14:textId="77777777" w:rsidR="0015150E" w:rsidRPr="007D45D4" w:rsidRDefault="0015150E" w:rsidP="0015150E">
      <w:pPr>
        <w:pStyle w:val="NormalWeb"/>
        <w:spacing w:before="0" w:beforeAutospacing="0" w:after="165" w:afterAutospacing="0"/>
        <w:rPr>
          <w:color w:val="000000"/>
          <w:spacing w:val="10"/>
          <w:sz w:val="26"/>
          <w:szCs w:val="26"/>
        </w:rPr>
      </w:pPr>
      <w:r w:rsidRPr="007D45D4">
        <w:rPr>
          <w:color w:val="000000"/>
          <w:spacing w:val="10"/>
          <w:sz w:val="26"/>
          <w:szCs w:val="26"/>
        </w:rPr>
        <w:t>Secretário de Governo e Relações Institucionais</w:t>
      </w:r>
    </w:p>
    <w:p w14:paraId="7F733A1B" w14:textId="77777777" w:rsidR="0015150E" w:rsidRPr="007D45D4" w:rsidRDefault="0015150E" w:rsidP="0015150E">
      <w:pPr>
        <w:pStyle w:val="NormalWeb"/>
        <w:spacing w:before="0" w:beforeAutospacing="0" w:after="0" w:afterAutospacing="0"/>
        <w:rPr>
          <w:color w:val="000000"/>
          <w:spacing w:val="10"/>
          <w:sz w:val="26"/>
          <w:szCs w:val="26"/>
        </w:rPr>
      </w:pPr>
      <w:r w:rsidRPr="007D45D4">
        <w:rPr>
          <w:color w:val="000000"/>
          <w:spacing w:val="10"/>
          <w:sz w:val="26"/>
          <w:szCs w:val="26"/>
        </w:rPr>
        <w:t xml:space="preserve">Arthur </w:t>
      </w:r>
      <w:proofErr w:type="spellStart"/>
      <w:r w:rsidRPr="007D45D4">
        <w:rPr>
          <w:color w:val="000000"/>
          <w:spacing w:val="10"/>
          <w:sz w:val="26"/>
          <w:szCs w:val="26"/>
        </w:rPr>
        <w:t>Luis</w:t>
      </w:r>
      <w:proofErr w:type="spellEnd"/>
      <w:r w:rsidRPr="007D45D4">
        <w:rPr>
          <w:color w:val="000000"/>
          <w:spacing w:val="10"/>
          <w:sz w:val="26"/>
          <w:szCs w:val="26"/>
        </w:rPr>
        <w:t xml:space="preserve"> Pinho de Lima</w:t>
      </w:r>
    </w:p>
    <w:p w14:paraId="02890BA8" w14:textId="77777777" w:rsidR="0015150E" w:rsidRDefault="0015150E" w:rsidP="0015150E">
      <w:pPr>
        <w:pStyle w:val="NormalWeb"/>
        <w:spacing w:before="0" w:beforeAutospacing="0" w:after="165" w:afterAutospacing="0"/>
        <w:rPr>
          <w:color w:val="000000"/>
          <w:spacing w:val="10"/>
          <w:sz w:val="26"/>
          <w:szCs w:val="26"/>
        </w:rPr>
      </w:pPr>
      <w:r w:rsidRPr="007D45D4">
        <w:rPr>
          <w:color w:val="000000"/>
          <w:spacing w:val="10"/>
          <w:sz w:val="26"/>
          <w:szCs w:val="26"/>
        </w:rPr>
        <w:t>Secretário-Chefe da Casa Civil</w:t>
      </w:r>
    </w:p>
    <w:p w14:paraId="7E271677" w14:textId="77777777" w:rsidR="0015150E" w:rsidRDefault="0015150E" w:rsidP="0051063F">
      <w:pPr>
        <w:pStyle w:val="NormalWeb"/>
        <w:spacing w:before="0" w:beforeAutospacing="0" w:after="0" w:afterAutospacing="0" w:line="360" w:lineRule="atLeast"/>
        <w:jc w:val="both"/>
        <w:rPr>
          <w:color w:val="000000"/>
          <w:spacing w:val="10"/>
          <w:sz w:val="26"/>
          <w:szCs w:val="26"/>
        </w:rPr>
      </w:pPr>
    </w:p>
    <w:sectPr w:rsidR="0015150E" w:rsidSect="005148C0">
      <w:type w:val="continuous"/>
      <w:pgSz w:w="11907" w:h="16840" w:code="9"/>
      <w:pgMar w:top="1418" w:right="1134" w:bottom="1418"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082D4" w14:textId="77777777" w:rsidR="00357633" w:rsidRDefault="00357633">
      <w:r>
        <w:separator/>
      </w:r>
    </w:p>
  </w:endnote>
  <w:endnote w:type="continuationSeparator" w:id="0">
    <w:p w14:paraId="22289685" w14:textId="77777777" w:rsidR="00357633" w:rsidRDefault="003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1F4E" w14:textId="77777777" w:rsidR="00357633" w:rsidRDefault="00357633">
      <w:r>
        <w:separator/>
      </w:r>
    </w:p>
  </w:footnote>
  <w:footnote w:type="continuationSeparator" w:id="0">
    <w:p w14:paraId="6EAB4D87" w14:textId="77777777" w:rsidR="00357633" w:rsidRDefault="0035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tVar" w:val="ipClient:10.0.9.115|idUsuario:44269172|nomeDocumento:202315864397.doc|idAnexo:51284792|numeroAssinantes:0|idUsuarioDepartamento:44269173|idDocumento:51284790|dataDownload:07/06/2023 17:53:17|urlAplicacao:https://pgedoc.pge.sp.gov.br/docflow/webdav|"/>
  </w:docVars>
  <w:rsids>
    <w:rsidRoot w:val="00AD19E6"/>
    <w:rsid w:val="000116F7"/>
    <w:rsid w:val="00025779"/>
    <w:rsid w:val="00060449"/>
    <w:rsid w:val="00065EDC"/>
    <w:rsid w:val="00066C7B"/>
    <w:rsid w:val="00071BC2"/>
    <w:rsid w:val="0007566B"/>
    <w:rsid w:val="00092517"/>
    <w:rsid w:val="000931CE"/>
    <w:rsid w:val="000A046C"/>
    <w:rsid w:val="000A667D"/>
    <w:rsid w:val="000B1140"/>
    <w:rsid w:val="000B1CFA"/>
    <w:rsid w:val="000B6064"/>
    <w:rsid w:val="000C7344"/>
    <w:rsid w:val="000D76D2"/>
    <w:rsid w:val="000E72AE"/>
    <w:rsid w:val="00101178"/>
    <w:rsid w:val="00107C88"/>
    <w:rsid w:val="00122C90"/>
    <w:rsid w:val="00135A67"/>
    <w:rsid w:val="001411AB"/>
    <w:rsid w:val="0015150E"/>
    <w:rsid w:val="00151F84"/>
    <w:rsid w:val="00154CEF"/>
    <w:rsid w:val="001A0908"/>
    <w:rsid w:val="001C551A"/>
    <w:rsid w:val="001D37DD"/>
    <w:rsid w:val="00234012"/>
    <w:rsid w:val="0023700F"/>
    <w:rsid w:val="00263331"/>
    <w:rsid w:val="00263D1A"/>
    <w:rsid w:val="002D75AD"/>
    <w:rsid w:val="00314A58"/>
    <w:rsid w:val="00325597"/>
    <w:rsid w:val="00357633"/>
    <w:rsid w:val="003728CA"/>
    <w:rsid w:val="00372A01"/>
    <w:rsid w:val="003D3452"/>
    <w:rsid w:val="003F30F0"/>
    <w:rsid w:val="003F4456"/>
    <w:rsid w:val="004055EA"/>
    <w:rsid w:val="00413CBF"/>
    <w:rsid w:val="00417B30"/>
    <w:rsid w:val="00420D4A"/>
    <w:rsid w:val="0043082D"/>
    <w:rsid w:val="004314AE"/>
    <w:rsid w:val="00440623"/>
    <w:rsid w:val="00491569"/>
    <w:rsid w:val="00500697"/>
    <w:rsid w:val="00503072"/>
    <w:rsid w:val="005054EE"/>
    <w:rsid w:val="0051063F"/>
    <w:rsid w:val="005148C0"/>
    <w:rsid w:val="0052685D"/>
    <w:rsid w:val="00547413"/>
    <w:rsid w:val="0057081B"/>
    <w:rsid w:val="005772F9"/>
    <w:rsid w:val="00577522"/>
    <w:rsid w:val="00582852"/>
    <w:rsid w:val="00585F10"/>
    <w:rsid w:val="005B50DF"/>
    <w:rsid w:val="005D4034"/>
    <w:rsid w:val="005E51CA"/>
    <w:rsid w:val="005F3593"/>
    <w:rsid w:val="00607CB9"/>
    <w:rsid w:val="00617C44"/>
    <w:rsid w:val="006214C9"/>
    <w:rsid w:val="006316F2"/>
    <w:rsid w:val="006322A2"/>
    <w:rsid w:val="006501D6"/>
    <w:rsid w:val="00673AF1"/>
    <w:rsid w:val="00693E54"/>
    <w:rsid w:val="006C7E01"/>
    <w:rsid w:val="006D2A38"/>
    <w:rsid w:val="006E4E36"/>
    <w:rsid w:val="006F0574"/>
    <w:rsid w:val="006F494A"/>
    <w:rsid w:val="00713E58"/>
    <w:rsid w:val="00755565"/>
    <w:rsid w:val="00756C1F"/>
    <w:rsid w:val="007860D1"/>
    <w:rsid w:val="007F5983"/>
    <w:rsid w:val="00833251"/>
    <w:rsid w:val="008460E9"/>
    <w:rsid w:val="00876669"/>
    <w:rsid w:val="00896BAF"/>
    <w:rsid w:val="008B220E"/>
    <w:rsid w:val="008C7105"/>
    <w:rsid w:val="008F1994"/>
    <w:rsid w:val="008F4E65"/>
    <w:rsid w:val="009863A6"/>
    <w:rsid w:val="009B08DE"/>
    <w:rsid w:val="009C03C9"/>
    <w:rsid w:val="00A340EC"/>
    <w:rsid w:val="00A3438B"/>
    <w:rsid w:val="00A81BE2"/>
    <w:rsid w:val="00A844D8"/>
    <w:rsid w:val="00AD19E6"/>
    <w:rsid w:val="00B27EEA"/>
    <w:rsid w:val="00B71E11"/>
    <w:rsid w:val="00B84CE2"/>
    <w:rsid w:val="00C23E4C"/>
    <w:rsid w:val="00C25BD6"/>
    <w:rsid w:val="00C365B9"/>
    <w:rsid w:val="00C435D7"/>
    <w:rsid w:val="00C43950"/>
    <w:rsid w:val="00C46CDA"/>
    <w:rsid w:val="00C67C7A"/>
    <w:rsid w:val="00C71D60"/>
    <w:rsid w:val="00C96D3F"/>
    <w:rsid w:val="00CB75A2"/>
    <w:rsid w:val="00CF3B69"/>
    <w:rsid w:val="00D002B0"/>
    <w:rsid w:val="00D35643"/>
    <w:rsid w:val="00D53351"/>
    <w:rsid w:val="00D6634D"/>
    <w:rsid w:val="00DA0E42"/>
    <w:rsid w:val="00DA353B"/>
    <w:rsid w:val="00DB204B"/>
    <w:rsid w:val="00DF3019"/>
    <w:rsid w:val="00E31086"/>
    <w:rsid w:val="00E43D89"/>
    <w:rsid w:val="00E628F0"/>
    <w:rsid w:val="00E729D9"/>
    <w:rsid w:val="00E9365E"/>
    <w:rsid w:val="00EA6D22"/>
    <w:rsid w:val="00EA7EB2"/>
    <w:rsid w:val="00EC35C3"/>
    <w:rsid w:val="00ED6986"/>
    <w:rsid w:val="00EE2C00"/>
    <w:rsid w:val="00EF1C8D"/>
    <w:rsid w:val="00F16214"/>
    <w:rsid w:val="00F24507"/>
    <w:rsid w:val="00F2594F"/>
    <w:rsid w:val="00F341E4"/>
    <w:rsid w:val="00F43B95"/>
    <w:rsid w:val="00F463FA"/>
    <w:rsid w:val="00F77510"/>
    <w:rsid w:val="00F96505"/>
    <w:rsid w:val="00FD2916"/>
    <w:rsid w:val="00FE68A9"/>
  </w:rsids>
  <m:mathPr>
    <m:mathFont m:val="Cambria Math"/>
    <m:brkBin m:val="before"/>
    <m:brkBinSub m:val="--"/>
    <m:smallFrac m:val="0"/>
    <m:dispDef/>
    <m:lMargin m:val="0"/>
    <m:rMargin m:val="0"/>
    <m:defJc m:val="centerGroup"/>
    <m:wrapRight/>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8BC79A"/>
  <w15:chartTrackingRefBased/>
  <w15:docId w15:val="{C9CE166D-1D74-4E0B-9AAB-78A719C4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spacing w:before="120"/>
      <w:jc w:val="center"/>
      <w:outlineLvl w:val="0"/>
    </w:pPr>
    <w:rPr>
      <w:b/>
      <w:sz w:val="52"/>
    </w:rPr>
  </w:style>
  <w:style w:type="paragraph" w:styleId="Ttulo2">
    <w:name w:val="heading 2"/>
    <w:basedOn w:val="Normal"/>
    <w:next w:val="Normal"/>
    <w:qFormat/>
    <w:pPr>
      <w:keepNext/>
      <w:outlineLvl w:val="1"/>
    </w:pPr>
    <w:rPr>
      <w:rFonts w:ascii="Arial" w:hAnsi="Arial" w:cs="Arial"/>
      <w:sz w:val="24"/>
    </w:rPr>
  </w:style>
  <w:style w:type="paragraph" w:styleId="Ttulo3">
    <w:name w:val="heading 3"/>
    <w:basedOn w:val="Normal"/>
    <w:next w:val="Normal"/>
    <w:qFormat/>
    <w:pPr>
      <w:keepNext/>
      <w:spacing w:before="40"/>
      <w:jc w:val="center"/>
      <w:outlineLvl w:val="2"/>
    </w:pPr>
    <w:rPr>
      <w:b/>
    </w:rPr>
  </w:style>
  <w:style w:type="paragraph" w:styleId="Ttulo4">
    <w:name w:val="heading 4"/>
    <w:basedOn w:val="Normal"/>
    <w:next w:val="Normal"/>
    <w:qFormat/>
    <w:pPr>
      <w:keepNext/>
      <w:spacing w:before="40" w:after="100"/>
      <w:jc w:val="center"/>
      <w:outlineLvl w:val="3"/>
    </w:pPr>
    <w:rPr>
      <w:b/>
      <w:sz w:val="16"/>
    </w:rPr>
  </w:style>
  <w:style w:type="paragraph" w:styleId="Ttulo5">
    <w:name w:val="heading 5"/>
    <w:basedOn w:val="Normal"/>
    <w:next w:val="Normal"/>
    <w:qFormat/>
    <w:pPr>
      <w:keepNext/>
      <w:ind w:firstLine="708"/>
      <w:outlineLvl w:val="4"/>
    </w:pPr>
    <w:rPr>
      <w:rFonts w:ascii="Arial" w:hAnsi="Arial"/>
      <w:b/>
      <w:sz w:val="24"/>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pPr>
      <w:keepNext/>
      <w:spacing w:before="80" w:after="80"/>
      <w:outlineLvl w:val="6"/>
    </w:pPr>
    <w:rPr>
      <w:b/>
      <w:spacing w:val="60"/>
      <w:sz w:val="24"/>
    </w:rPr>
  </w:style>
  <w:style w:type="paragraph" w:styleId="Ttulo8">
    <w:name w:val="heading 8"/>
    <w:basedOn w:val="Normal"/>
    <w:next w:val="Normal"/>
    <w:qFormat/>
    <w:pPr>
      <w:keepNext/>
      <w:jc w:val="center"/>
      <w:outlineLvl w:val="7"/>
    </w:pPr>
    <w:rPr>
      <w:rFonts w:ascii="Tahoma" w:hAnsi="Tahoma" w:cs="Tahoma"/>
      <w:b/>
      <w:sz w:val="28"/>
      <w:szCs w:val="28"/>
    </w:rPr>
  </w:style>
  <w:style w:type="paragraph" w:styleId="Ttulo9">
    <w:name w:val="heading 9"/>
    <w:basedOn w:val="Normal"/>
    <w:next w:val="Normal"/>
    <w:qFormat/>
    <w:pPr>
      <w:keepNext/>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widowControl w:val="0"/>
      <w:tabs>
        <w:tab w:val="center" w:pos="4320"/>
        <w:tab w:val="right" w:pos="8640"/>
      </w:tabs>
    </w:pPr>
  </w:style>
  <w:style w:type="paragraph" w:styleId="Rodap">
    <w:name w:val="footer"/>
    <w:basedOn w:val="Normal"/>
    <w:pPr>
      <w:tabs>
        <w:tab w:val="center" w:pos="4419"/>
        <w:tab w:val="right" w:pos="8838"/>
      </w:tabs>
    </w:pPr>
  </w:style>
  <w:style w:type="paragraph" w:styleId="Textoembloco">
    <w:name w:val="Block Text"/>
    <w:basedOn w:val="Normal"/>
    <w:pPr>
      <w:ind w:left="71" w:right="567"/>
      <w:jc w:val="both"/>
    </w:pPr>
    <w:rPr>
      <w:sz w:val="22"/>
    </w:rPr>
  </w:style>
  <w:style w:type="paragraph" w:styleId="Corpodetexto">
    <w:name w:val="Body Text"/>
    <w:basedOn w:val="Normal"/>
    <w:rPr>
      <w:sz w:val="24"/>
    </w:rPr>
  </w:style>
  <w:style w:type="paragraph" w:styleId="Corpodetexto2">
    <w:name w:val="Body Text 2"/>
    <w:basedOn w:val="Normal"/>
    <w:rPr>
      <w:b/>
      <w:sz w:val="24"/>
      <w:szCs w:val="28"/>
    </w:rPr>
  </w:style>
  <w:style w:type="paragraph" w:styleId="Corpodetexto3">
    <w:name w:val="Body Text 3"/>
    <w:basedOn w:val="Normal"/>
    <w:pPr>
      <w:jc w:val="both"/>
    </w:pPr>
    <w:rPr>
      <w:rFonts w:ascii="Verdana" w:hAnsi="Verdana"/>
      <w:sz w:val="24"/>
    </w:rPr>
  </w:style>
  <w:style w:type="table" w:styleId="Tabelacomgrade">
    <w:name w:val="Table Grid"/>
    <w:basedOn w:val="Tabelanormal"/>
    <w:rsid w:val="00AD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44D8"/>
    <w:pPr>
      <w:spacing w:before="100" w:beforeAutospacing="1" w:after="100" w:afterAutospacing="1"/>
    </w:pPr>
    <w:rPr>
      <w:sz w:val="24"/>
      <w:szCs w:val="24"/>
    </w:rPr>
  </w:style>
  <w:style w:type="paragraph" w:customStyle="1" w:styleId="textocentralizado">
    <w:name w:val="texto_centralizado"/>
    <w:basedOn w:val="Normal"/>
    <w:rsid w:val="00065EDC"/>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065EDC"/>
    <w:pPr>
      <w:spacing w:before="100" w:beforeAutospacing="1" w:after="100" w:afterAutospacing="1"/>
    </w:pPr>
    <w:rPr>
      <w:sz w:val="24"/>
      <w:szCs w:val="24"/>
    </w:rPr>
  </w:style>
  <w:style w:type="character" w:styleId="Forte">
    <w:name w:val="Strong"/>
    <w:uiPriority w:val="22"/>
    <w:qFormat/>
    <w:rsid w:val="009863A6"/>
    <w:rPr>
      <w:b/>
      <w:bCs/>
    </w:rPr>
  </w:style>
  <w:style w:type="character" w:styleId="Hyperlink">
    <w:name w:val="Hyperlink"/>
    <w:uiPriority w:val="99"/>
    <w:unhideWhenUsed/>
    <w:rsid w:val="000A046C"/>
    <w:rPr>
      <w:color w:val="0000FF"/>
      <w:u w:val="single"/>
    </w:rPr>
  </w:style>
  <w:style w:type="paragraph" w:customStyle="1" w:styleId="Autgrafo-corpo">
    <w:name w:val="Autógrafo - corpo"/>
    <w:basedOn w:val="Normal"/>
    <w:rsid w:val="008F1994"/>
    <w:pPr>
      <w:spacing w:line="360" w:lineRule="auto"/>
      <w:ind w:firstLine="1134"/>
      <w:jc w:val="both"/>
    </w:pPr>
    <w:rPr>
      <w:sz w:val="24"/>
      <w:szCs w:val="24"/>
      <w:lang w:bidi="he-IL"/>
    </w:rPr>
  </w:style>
  <w:style w:type="character" w:customStyle="1" w:styleId="CabealhoChar">
    <w:name w:val="Cabeçalho Char"/>
    <w:basedOn w:val="Fontepargpadro"/>
    <w:link w:val="Cabealho"/>
    <w:rsid w:val="000D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8911">
      <w:bodyDiv w:val="1"/>
      <w:marLeft w:val="0"/>
      <w:marRight w:val="0"/>
      <w:marTop w:val="0"/>
      <w:marBottom w:val="0"/>
      <w:divBdr>
        <w:top w:val="none" w:sz="0" w:space="0" w:color="auto"/>
        <w:left w:val="none" w:sz="0" w:space="0" w:color="auto"/>
        <w:bottom w:val="none" w:sz="0" w:space="0" w:color="auto"/>
        <w:right w:val="none" w:sz="0" w:space="0" w:color="auto"/>
      </w:divBdr>
    </w:div>
    <w:div w:id="355934481">
      <w:bodyDiv w:val="1"/>
      <w:marLeft w:val="0"/>
      <w:marRight w:val="0"/>
      <w:marTop w:val="0"/>
      <w:marBottom w:val="0"/>
      <w:divBdr>
        <w:top w:val="none" w:sz="0" w:space="0" w:color="auto"/>
        <w:left w:val="none" w:sz="0" w:space="0" w:color="auto"/>
        <w:bottom w:val="none" w:sz="0" w:space="0" w:color="auto"/>
        <w:right w:val="none" w:sz="0" w:space="0" w:color="auto"/>
      </w:divBdr>
    </w:div>
    <w:div w:id="370498856">
      <w:bodyDiv w:val="1"/>
      <w:marLeft w:val="0"/>
      <w:marRight w:val="0"/>
      <w:marTop w:val="0"/>
      <w:marBottom w:val="0"/>
      <w:divBdr>
        <w:top w:val="none" w:sz="0" w:space="0" w:color="auto"/>
        <w:left w:val="none" w:sz="0" w:space="0" w:color="auto"/>
        <w:bottom w:val="none" w:sz="0" w:space="0" w:color="auto"/>
        <w:right w:val="none" w:sz="0" w:space="0" w:color="auto"/>
      </w:divBdr>
    </w:div>
    <w:div w:id="730689538">
      <w:bodyDiv w:val="1"/>
      <w:marLeft w:val="0"/>
      <w:marRight w:val="0"/>
      <w:marTop w:val="0"/>
      <w:marBottom w:val="0"/>
      <w:divBdr>
        <w:top w:val="none" w:sz="0" w:space="0" w:color="auto"/>
        <w:left w:val="none" w:sz="0" w:space="0" w:color="auto"/>
        <w:bottom w:val="none" w:sz="0" w:space="0" w:color="auto"/>
        <w:right w:val="none" w:sz="0" w:space="0" w:color="auto"/>
      </w:divBdr>
    </w:div>
    <w:div w:id="811023350">
      <w:bodyDiv w:val="1"/>
      <w:marLeft w:val="0"/>
      <w:marRight w:val="0"/>
      <w:marTop w:val="0"/>
      <w:marBottom w:val="0"/>
      <w:divBdr>
        <w:top w:val="none" w:sz="0" w:space="0" w:color="auto"/>
        <w:left w:val="none" w:sz="0" w:space="0" w:color="auto"/>
        <w:bottom w:val="none" w:sz="0" w:space="0" w:color="auto"/>
        <w:right w:val="none" w:sz="0" w:space="0" w:color="auto"/>
      </w:divBdr>
    </w:div>
    <w:div w:id="1102455904">
      <w:bodyDiv w:val="1"/>
      <w:marLeft w:val="0"/>
      <w:marRight w:val="0"/>
      <w:marTop w:val="0"/>
      <w:marBottom w:val="0"/>
      <w:divBdr>
        <w:top w:val="none" w:sz="0" w:space="0" w:color="auto"/>
        <w:left w:val="none" w:sz="0" w:space="0" w:color="auto"/>
        <w:bottom w:val="none" w:sz="0" w:space="0" w:color="auto"/>
        <w:right w:val="none" w:sz="0" w:space="0" w:color="auto"/>
      </w:divBdr>
    </w:div>
    <w:div w:id="131074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0B2D4-9B51-4F47-93B3-B875BF4F20C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customXml/itemProps2.xml><?xml version="1.0" encoding="utf-8"?>
<ds:datastoreItem xmlns:ds="http://schemas.openxmlformats.org/officeDocument/2006/customXml" ds:itemID="{AF1B673D-E4A9-47C5-A192-F10ECF584FD5}">
  <ds:schemaRefs>
    <ds:schemaRef ds:uri="http://schemas.microsoft.com/sharepoint/v3/contenttype/forms"/>
  </ds:schemaRefs>
</ds:datastoreItem>
</file>

<file path=customXml/itemProps3.xml><?xml version="1.0" encoding="utf-8"?>
<ds:datastoreItem xmlns:ds="http://schemas.openxmlformats.org/officeDocument/2006/customXml" ds:itemID="{87636B20-56F9-4E1D-B5E1-1CB7F487F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DataEasy</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Maria Augusta Martins</cp:lastModifiedBy>
  <cp:revision>2</cp:revision>
  <cp:lastPrinted>1900-01-01T02:00:00Z</cp:lastPrinted>
  <dcterms:created xsi:type="dcterms:W3CDTF">2024-07-23T18:22:00Z</dcterms:created>
  <dcterms:modified xsi:type="dcterms:W3CDTF">2024-07-23T18:22:00Z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y fmtid="{D5CDD505-2E9C-101B-9397-08002B2CF9AE}" pid="3" name="MediaServiceImageTags">
    <vt:lpwstr/>
  </property>
</Properties>
</file>