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EDF0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0F721F">
        <w:rPr>
          <w:rFonts w:ascii="Helvetica" w:hAnsi="Helvetica" w:cs="Helvetica"/>
          <w:b/>
          <w:bCs/>
          <w:spacing w:val="10"/>
        </w:rPr>
        <w:t>LEI Nº 17.764, DE 27 DE SETEMBRO DE 2023</w:t>
      </w:r>
    </w:p>
    <w:p w14:paraId="608F8311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7D4CBAE" w14:textId="77777777" w:rsid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(Projeto de lei nº 364/2021, do Deputado Carlos Giannazi - PSOL)</w:t>
      </w:r>
    </w:p>
    <w:p w14:paraId="3E92418F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996B497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0F721F">
        <w:rPr>
          <w:rFonts w:ascii="Helvetica" w:hAnsi="Helvetica" w:cs="Helvetica"/>
          <w:b/>
          <w:bCs/>
          <w:spacing w:val="10"/>
        </w:rPr>
        <w:t>Denomina “Professor Milton Santos” a Escola Estadual Morro Doce, na Capital</w:t>
      </w:r>
    </w:p>
    <w:p w14:paraId="26E9ABD5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59AF1A7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0F721F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1D54A51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435639E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0F721F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330A254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F3B76F8" w14:textId="77777777" w:rsid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b/>
          <w:bCs/>
          <w:spacing w:val="10"/>
        </w:rPr>
        <w:t>Artigo 1º -</w:t>
      </w:r>
      <w:r w:rsidRPr="000F721F">
        <w:rPr>
          <w:rFonts w:ascii="Helvetica" w:hAnsi="Helvetica" w:cs="Helvetica"/>
          <w:spacing w:val="10"/>
        </w:rPr>
        <w:t xml:space="preserve"> Passa a denominar-se “Professor Milton Santos” a Escola Estadual Morro Doce, na Capital.</w:t>
      </w:r>
    </w:p>
    <w:p w14:paraId="04F4DAD9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74FE861" w14:textId="7EFEB644" w:rsid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b/>
          <w:bCs/>
          <w:spacing w:val="10"/>
        </w:rPr>
        <w:t>Artigo 2º -</w:t>
      </w:r>
      <w:r w:rsidRPr="000F721F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6F593490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F929461" w14:textId="77777777" w:rsid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Palácio dos Bandeirantes, 27 de setembro de 2023</w:t>
      </w:r>
    </w:p>
    <w:p w14:paraId="28D4C2A4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52F721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TARCÍSIO DE FREITAS</w:t>
      </w:r>
    </w:p>
    <w:p w14:paraId="5ADF4EB4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Renato Feder</w:t>
      </w:r>
    </w:p>
    <w:p w14:paraId="43DB458D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Secretário da Educação</w:t>
      </w:r>
    </w:p>
    <w:p w14:paraId="4E081D38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Gilberto Kassab</w:t>
      </w:r>
    </w:p>
    <w:p w14:paraId="2855D5DF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Secretário de Governo e Relações Institucionais</w:t>
      </w:r>
    </w:p>
    <w:p w14:paraId="7FFA8E65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 xml:space="preserve">Arthur </w:t>
      </w:r>
      <w:proofErr w:type="spellStart"/>
      <w:r w:rsidRPr="000F721F">
        <w:rPr>
          <w:rFonts w:ascii="Helvetica" w:hAnsi="Helvetica" w:cs="Helvetica"/>
          <w:spacing w:val="10"/>
        </w:rPr>
        <w:t>Luis</w:t>
      </w:r>
      <w:proofErr w:type="spellEnd"/>
      <w:r w:rsidRPr="000F721F">
        <w:rPr>
          <w:rFonts w:ascii="Helvetica" w:hAnsi="Helvetica" w:cs="Helvetica"/>
          <w:spacing w:val="10"/>
        </w:rPr>
        <w:t xml:space="preserve"> Pinho de Lima</w:t>
      </w:r>
    </w:p>
    <w:p w14:paraId="4A35B659" w14:textId="77777777" w:rsidR="000F721F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Secretário-Chefe da Casa Civil</w:t>
      </w:r>
    </w:p>
    <w:p w14:paraId="0A89D052" w14:textId="09A13F57" w:rsidR="008F2DFC" w:rsidRPr="000F721F" w:rsidRDefault="000F721F" w:rsidP="000F721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0F721F">
        <w:rPr>
          <w:rFonts w:ascii="Helvetica" w:hAnsi="Helvetica" w:cs="Helvetica"/>
          <w:spacing w:val="10"/>
        </w:rPr>
        <w:t>Publicada na Assessoria Técnico-Legislativa, em 27 de setembro de 2023.</w:t>
      </w:r>
    </w:p>
    <w:sectPr w:rsidR="008F2DFC" w:rsidRPr="000F7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1F"/>
    <w:rsid w:val="000F721F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B23B"/>
  <w15:chartTrackingRefBased/>
  <w15:docId w15:val="{E25975D2-5D89-45CC-BAF7-58B8C2D8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A3FB70-DFDD-4C17-AA0B-2806FC25149C}"/>
</file>

<file path=customXml/itemProps2.xml><?xml version="1.0" encoding="utf-8"?>
<ds:datastoreItem xmlns:ds="http://schemas.openxmlformats.org/officeDocument/2006/customXml" ds:itemID="{D64CBE11-AEA9-404D-889F-365B383D9BCD}"/>
</file>

<file path=customXml/itemProps3.xml><?xml version="1.0" encoding="utf-8"?>
<ds:datastoreItem xmlns:ds="http://schemas.openxmlformats.org/officeDocument/2006/customXml" ds:itemID="{50EFC7B1-0595-444D-9AFD-AD0415F23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2024-01-18T15:45:00Z</dcterms:created>
  <dcterms:modified xsi:type="dcterms:W3CDTF">2024-01-18T15:48:00Z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