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793A8D90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17.86</w:t>
      </w:r>
      <w:r w:rsidR="00EA78C3">
        <w:rPr>
          <w:rStyle w:val="normaltextrun"/>
          <w:rFonts w:eastAsiaTheme="majorEastAsia"/>
          <w:b/>
          <w:bCs/>
          <w:color w:val="000000"/>
          <w:sz w:val="26"/>
          <w:szCs w:val="26"/>
        </w:rPr>
        <w:t>8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38613D9E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(Projeto de lei nº 842/2023, do Deputado </w:t>
      </w:r>
      <w:r>
        <w:rPr>
          <w:rStyle w:val="normaltextrun"/>
          <w:rFonts w:eastAsiaTheme="majorEastAsia"/>
          <w:sz w:val="26"/>
          <w:szCs w:val="26"/>
        </w:rPr>
        <w:t>Caio França – PSB</w:t>
      </w:r>
      <w:r>
        <w:rPr>
          <w:rStyle w:val="normaltextrun"/>
          <w:rFonts w:eastAsiaTheme="majorEastAsia"/>
          <w:color w:val="000000"/>
          <w:sz w:val="26"/>
          <w:szCs w:val="26"/>
        </w:rPr>
        <w:t>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0D8D318" w14:textId="066CDC78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9273009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A78C3">
        <w:rPr>
          <w:rStyle w:val="normaltextrun"/>
          <w:rFonts w:eastAsiaTheme="majorEastAsia"/>
          <w:b/>
          <w:bCs/>
          <w:i/>
          <w:iCs/>
          <w:sz w:val="26"/>
          <w:szCs w:val="26"/>
        </w:rPr>
        <w:t>Declara de utilidade pública a Associação de Mães e Amigos dos Deficientes e Familiares – AMADEF, com sede em São Vicente</w:t>
      </w:r>
      <w:r w:rsidRPr="00EA78C3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Pr="00EA78C3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3A9E2839" w14:textId="1324BB6B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079DA43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B72816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89B57A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03C8DC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83D7AF6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>. É declarada de utilidade pública a Associação de Mães e Amigos dos Deficientes e Familiares – AMADEF, com sede em São Vicente.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9A2FD72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4CE1BC3B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AFEF7A8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3979ED"/>
    <w:rsid w:val="00486D7C"/>
    <w:rsid w:val="005F176F"/>
    <w:rsid w:val="008E313D"/>
    <w:rsid w:val="00993373"/>
    <w:rsid w:val="00A538A1"/>
    <w:rsid w:val="00C01124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2024-03-19T14:34:00Z</dcterms:created>
  <dcterms:modified xsi:type="dcterms:W3CDTF">2024-03-19T14:34:00Z</dcterms:modified>
</cp:coreProperties>
</file>