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EC24E" w14:textId="77777777" w:rsidR="008E01D5" w:rsidRPr="008E01D5" w:rsidRDefault="008E01D5" w:rsidP="008E01D5">
      <w:pPr>
        <w:spacing w:after="0" w:line="240" w:lineRule="auto"/>
        <w:jc w:val="center"/>
        <w:rPr>
          <w:rFonts w:ascii="Times New Roman" w:hAnsi="Times New Roman"/>
          <w:spacing w:val="10"/>
          <w:kern w:val="0"/>
          <w:sz w:val="26"/>
          <w14:ligatures w14:val="none"/>
        </w:rPr>
      </w:pPr>
      <w:bookmarkStart w:id="0" w:name="_Hlk133331013"/>
      <w:r w:rsidRPr="008E01D5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Lei nº 18.070, de 23 de dezembro de 20</w:t>
      </w:r>
      <w:bookmarkEnd w:id="0"/>
      <w:r w:rsidRPr="008E01D5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24</w:t>
      </w:r>
    </w:p>
    <w:p w14:paraId="4B10F351" w14:textId="77777777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6453411E" w14:textId="77777777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68F5FBCE" w14:textId="77777777" w:rsidR="008E01D5" w:rsidRPr="008E01D5" w:rsidRDefault="008E01D5" w:rsidP="008E01D5">
      <w:pPr>
        <w:spacing w:after="0" w:line="240" w:lineRule="auto"/>
        <w:jc w:val="right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>(Projeto de lei nº 348/2024, do Deputado Caio França – PSB)</w:t>
      </w:r>
    </w:p>
    <w:p w14:paraId="3FC9FADB" w14:textId="77777777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42A9886A" w14:textId="77777777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7CE310B6" w14:textId="77777777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i/>
          <w:iCs/>
          <w:spacing w:val="10"/>
          <w:kern w:val="0"/>
          <w:sz w:val="26"/>
          <w14:ligatures w14:val="none"/>
        </w:rPr>
        <w:t>Institui, no Calendário Oficial do Estado, o “Dia do Procurador”.</w:t>
      </w:r>
    </w:p>
    <w:p w14:paraId="2E051DE3" w14:textId="77777777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15586C67" w14:textId="77777777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7C436436" w14:textId="77777777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O GOVERNADOR DO ESTADO DE SÃO PAULO:</w:t>
      </w:r>
    </w:p>
    <w:p w14:paraId="40685FAE" w14:textId="77777777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7F2B7DFC" w14:textId="77777777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Faço saber que a Assembleia Legislativa decreta e eu promulgo a seguinte lei:</w:t>
      </w:r>
    </w:p>
    <w:p w14:paraId="428D1C57" w14:textId="77777777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3A850FBF" w14:textId="77777777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Artigo 1º</w:t>
      </w:r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> - Fica instituído, no Calendário Oficial do Estado, o “Dia do Procurador”, a ser celebrado, anualmente, em 7 de março.</w:t>
      </w:r>
    </w:p>
    <w:p w14:paraId="1DB9D992" w14:textId="77777777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7DDC7EF1" w14:textId="77777777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Parágrafo único</w:t>
      </w:r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> - O “Dia do Procurador” destina-se a reconhecer o mérito da advocacia pública no fortalecimento do sistema de defesa e dos interesses da sociedade.</w:t>
      </w:r>
    </w:p>
    <w:p w14:paraId="0EFED9A4" w14:textId="77777777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61F0263E" w14:textId="77777777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Palácio dos Bandeirantes, na data da assinatura digital.</w:t>
      </w:r>
    </w:p>
    <w:p w14:paraId="54F8052B" w14:textId="77777777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49EB2AFF" w14:textId="77777777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5DDD5373" w14:textId="5D0D5D5D" w:rsidR="008E01D5" w:rsidRPr="008E01D5" w:rsidRDefault="00456B86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TARCÍSIO DE FREITAS</w:t>
      </w:r>
    </w:p>
    <w:p w14:paraId="0ED74250" w14:textId="77777777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715D3A9E" w14:textId="0010B23C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> Inês Maria dos Santos Coimbra</w:t>
      </w:r>
    </w:p>
    <w:p w14:paraId="209EAA2C" w14:textId="77777777" w:rsidR="008E01D5" w:rsidRPr="008E01D5" w:rsidRDefault="008E01D5" w:rsidP="008E01D5">
      <w:pPr>
        <w:spacing w:after="125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>Procuradora Geral do Estado</w:t>
      </w:r>
    </w:p>
    <w:p w14:paraId="01F32DAF" w14:textId="77777777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>Gilberto Kassab</w:t>
      </w:r>
    </w:p>
    <w:p w14:paraId="692C41ED" w14:textId="77777777" w:rsidR="008E01D5" w:rsidRPr="008E01D5" w:rsidRDefault="008E01D5" w:rsidP="008E01D5">
      <w:pPr>
        <w:spacing w:after="125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>Secretário de Governo e Relações Institucionais</w:t>
      </w:r>
    </w:p>
    <w:p w14:paraId="61EA1982" w14:textId="77777777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 xml:space="preserve">Arthur </w:t>
      </w:r>
      <w:proofErr w:type="spellStart"/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>Luis</w:t>
      </w:r>
      <w:proofErr w:type="spellEnd"/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 xml:space="preserve"> Pinho de Lima</w:t>
      </w:r>
    </w:p>
    <w:p w14:paraId="6CE17D18" w14:textId="77777777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8E01D5">
        <w:rPr>
          <w:rFonts w:ascii="Times New Roman" w:hAnsi="Times New Roman"/>
          <w:spacing w:val="10"/>
          <w:kern w:val="0"/>
          <w:sz w:val="26"/>
          <w14:ligatures w14:val="none"/>
        </w:rPr>
        <w:t>Secretário-Chefe da Casa Civil</w:t>
      </w:r>
    </w:p>
    <w:p w14:paraId="40690E21" w14:textId="77777777" w:rsidR="008E01D5" w:rsidRPr="008E01D5" w:rsidRDefault="008E01D5" w:rsidP="008E01D5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sectPr w:rsidR="008E01D5" w:rsidRPr="008E01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D5"/>
    <w:rsid w:val="00456B86"/>
    <w:rsid w:val="008E01D5"/>
    <w:rsid w:val="00C1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0336"/>
  <w15:chartTrackingRefBased/>
  <w15:docId w15:val="{AD26ED64-EAE5-4A73-B290-C440E58C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0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0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0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0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0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0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0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0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0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0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0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0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01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01D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01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01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01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01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0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0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0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0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0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01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01D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01D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0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01D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01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1067F2-D3B1-4AE4-A4F4-7EACCC2EE187}"/>
</file>

<file path=customXml/itemProps2.xml><?xml version="1.0" encoding="utf-8"?>
<ds:datastoreItem xmlns:ds="http://schemas.openxmlformats.org/officeDocument/2006/customXml" ds:itemID="{11A58344-B484-490E-8673-A97FBE293385}"/>
</file>

<file path=customXml/itemProps3.xml><?xml version="1.0" encoding="utf-8"?>
<ds:datastoreItem xmlns:ds="http://schemas.openxmlformats.org/officeDocument/2006/customXml" ds:itemID="{A2D4E32E-EA2E-47FF-8CB4-099BCCC9A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2</cp:revision>
  <dcterms:created xsi:type="dcterms:W3CDTF">2025-02-11T18:12:00Z</dcterms:created>
  <dcterms:modified xsi:type="dcterms:W3CDTF">2025-02-11T18:17:00Z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