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487D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DECRETO Nº 70.049, DE 5 DE NOVEMBRO DE 2025</w:t>
      </w:r>
    </w:p>
    <w:p w14:paraId="0C6297CA" w14:textId="77777777" w:rsidR="00E226E3" w:rsidRPr="00CB0B03" w:rsidRDefault="00E226E3" w:rsidP="00E226E3">
      <w:pPr>
        <w:spacing w:beforeLines="60" w:before="144" w:afterLines="60" w:after="144" w:line="240" w:lineRule="auto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Aprova a Estrutura Organizacional e o Quadro Demonstrativo dos Cargos em Comissão e das Funções de Confiança da Casa Civil, da Governadoria do Estado.</w:t>
      </w:r>
    </w:p>
    <w:p w14:paraId="3D65D296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CB0B03">
        <w:rPr>
          <w:rFonts w:ascii="Helvetica-Normal" w:hAnsi="Helvetica-Normal"/>
          <w:sz w:val="22"/>
          <w:szCs w:val="22"/>
        </w:rPr>
        <w:t>, no uso de suas atribuições legais,</w:t>
      </w:r>
    </w:p>
    <w:p w14:paraId="064C92CC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42A84878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1º - Ficam aprovados a Estrutura Organizacional e o Quadro Demonstrativo dos Cargos em Comissão e das Funções de Confiança da Casa Civil, na forma dos Anexos I e II deste decreto.</w:t>
      </w:r>
    </w:p>
    <w:p w14:paraId="4CF0EB73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2º - Ficam discriminados, respectivamente nos Anexos III, IV e V (V-A e V-B) deste decreto:</w:t>
      </w:r>
    </w:p>
    <w:p w14:paraId="51857C09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CB0B03">
        <w:rPr>
          <w:rFonts w:ascii="Helvetica-Normal" w:hAnsi="Helvetica-Normal"/>
          <w:sz w:val="22"/>
          <w:szCs w:val="22"/>
        </w:rPr>
        <w:t>as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quantidades de CCESP e FCESP e seus valores unitários e totais;</w:t>
      </w:r>
    </w:p>
    <w:p w14:paraId="08F43645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CB0B03">
        <w:rPr>
          <w:rFonts w:ascii="Helvetica-Normal" w:hAnsi="Helvetica-Normal"/>
          <w:sz w:val="22"/>
          <w:szCs w:val="22"/>
        </w:rPr>
        <w:t>as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unidades da Casa Civil que atuam como órgão central, setorial ou </w:t>
      </w:r>
      <w:proofErr w:type="spellStart"/>
      <w:r w:rsidRPr="00CB0B03">
        <w:rPr>
          <w:rFonts w:ascii="Helvetica-Normal" w:hAnsi="Helvetica-Normal"/>
          <w:sz w:val="22"/>
          <w:szCs w:val="22"/>
        </w:rPr>
        <w:t>subsetorial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dos sistemas administrativos;</w:t>
      </w:r>
    </w:p>
    <w:p w14:paraId="1BD2B61B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III - os cargos e funções extintos e gratificações incompatíveis.</w:t>
      </w:r>
    </w:p>
    <w:p w14:paraId="7DA0F6C2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§ 1º - Os cargos em comissão, funções de confiança, funções-atividade em confiança e funções retribuídas por "</w:t>
      </w:r>
      <w:proofErr w:type="gramStart"/>
      <w:r w:rsidRPr="00CB0B03">
        <w:rPr>
          <w:rFonts w:ascii="Helvetica-Normal" w:hAnsi="Helvetica-Normal"/>
          <w:sz w:val="22"/>
          <w:szCs w:val="22"/>
        </w:rPr>
        <w:t>pro labore</w:t>
      </w:r>
      <w:proofErr w:type="gramEnd"/>
      <w:r w:rsidRPr="00CB0B03">
        <w:rPr>
          <w:rFonts w:ascii="Helvetica-Normal" w:hAnsi="Helvetica-Normal"/>
          <w:sz w:val="22"/>
          <w:szCs w:val="22"/>
        </w:rPr>
        <w:t>" ocupados por servidores em gozo dos afastamentos previstos nos artigos 78, 191 e 199 da Lei nº 10.261, de 28 de outubro de 1968, e no artigo 18, inciso I, alíneas "e", "g" e "h" da Lei federal nº 8.213, de 24 de julho de 1991, serão extintos imediatamente após o término do afastamento.</w:t>
      </w:r>
    </w:p>
    <w:p w14:paraId="23275F39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§ 2º - A extinção a que se referem o inciso III e o § 1º deste artigo será registrada e identificada em ato do Secretário-Chefe da Casa Civil, conforme regulamentação do órgão central do Sistema de Organização Institucional do Estado de São Paulo - SIORG.</w:t>
      </w:r>
    </w:p>
    <w:p w14:paraId="387CD32B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3º - O detalhamento da estrutura organizacional e das atribuições dos dirigentes das unidades administrativas de CCESP ou FCESP de nível inferior a 14 será feito em resolução do Secretário-Chefe da Casa Civil, observadas as diretrizes estabelecidas no artigo 4º do Decreto nº 68.742 de 5 de agosto de 2024.</w:t>
      </w:r>
    </w:p>
    <w:p w14:paraId="27BDDAB6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4º - Ficam alterados os quantitativos e as cotas de cargos em comissão e funções de confiança da Governadoria, em substituição aos previstos no Anexo VII do Decreto nº 68.742, de 5 de agosto de 2024, na seguinte conformidade:</w:t>
      </w:r>
    </w:p>
    <w:tbl>
      <w:tblPr>
        <w:tblW w:w="67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418"/>
        <w:gridCol w:w="1276"/>
        <w:gridCol w:w="1275"/>
        <w:gridCol w:w="1134"/>
      </w:tblGrid>
      <w:tr w:rsidR="00E226E3" w:rsidRPr="00CB0B03" w14:paraId="638A0B23" w14:textId="77777777" w:rsidTr="00E226E3"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7C3389" w14:textId="77777777" w:rsidR="00E226E3" w:rsidRPr="00CB0B03" w:rsidRDefault="00E226E3" w:rsidP="00201CE1">
            <w:pPr>
              <w:spacing w:beforeLines="60" w:before="144" w:afterLines="60" w:after="144" w:line="240" w:lineRule="auto"/>
              <w:ind w:firstLine="1418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D1EA2E" w14:textId="77777777" w:rsidR="00E226E3" w:rsidRPr="00CB0B03" w:rsidRDefault="00E226E3" w:rsidP="00201CE1">
            <w:pPr>
              <w:spacing w:beforeLines="60" w:before="144" w:afterLines="60" w:after="144" w:line="240" w:lineRule="auto"/>
              <w:ind w:firstLine="1418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CCESP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1D7A1" w14:textId="77777777" w:rsidR="00E226E3" w:rsidRPr="00CB0B03" w:rsidRDefault="00E226E3" w:rsidP="00201CE1">
            <w:pPr>
              <w:spacing w:beforeLines="60" w:before="144" w:afterLines="60" w:after="144" w:line="240" w:lineRule="auto"/>
              <w:ind w:firstLine="1418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FCESP</w:t>
            </w:r>
          </w:p>
        </w:tc>
      </w:tr>
      <w:tr w:rsidR="00E226E3" w:rsidRPr="00CB0B03" w14:paraId="37442850" w14:textId="77777777" w:rsidTr="00E226E3"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A1AC7" w14:textId="77777777" w:rsidR="00E226E3" w:rsidRPr="00CB0B03" w:rsidRDefault="00E226E3" w:rsidP="00201CE1">
            <w:pPr>
              <w:spacing w:beforeLines="60" w:before="144" w:afterLines="60" w:after="144" w:line="240" w:lineRule="auto"/>
              <w:ind w:firstLine="1418"/>
              <w:jc w:val="both"/>
              <w:rPr>
                <w:rFonts w:ascii="Helvetica-Normal" w:hAnsi="Helvetica-Norm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20EB2" w14:textId="77777777" w:rsidR="00E226E3" w:rsidRPr="00CB0B03" w:rsidRDefault="00E226E3" w:rsidP="00E226E3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QUANTIDADE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AAAAA" w14:textId="77777777" w:rsidR="00E226E3" w:rsidRPr="00CB0B03" w:rsidRDefault="00E226E3" w:rsidP="00E226E3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COTAS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B21A18" w14:textId="77777777" w:rsidR="00E226E3" w:rsidRPr="00CB0B03" w:rsidRDefault="00E226E3" w:rsidP="00E226E3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QUANTIDADE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FD892" w14:textId="77777777" w:rsidR="00E226E3" w:rsidRPr="00CB0B03" w:rsidRDefault="00E226E3" w:rsidP="00E226E3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COTAS</w:t>
            </w:r>
          </w:p>
        </w:tc>
      </w:tr>
      <w:tr w:rsidR="00E226E3" w:rsidRPr="00CB0B03" w14:paraId="6B49FA83" w14:textId="77777777" w:rsidTr="00E226E3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B65A5" w14:textId="77777777" w:rsidR="00E226E3" w:rsidRPr="00CB0B03" w:rsidRDefault="00E226E3" w:rsidP="00E226E3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Governadoria do Estado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0749F4" w14:textId="77777777" w:rsidR="00E226E3" w:rsidRPr="00CB0B03" w:rsidRDefault="00E226E3" w:rsidP="00E226E3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532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CD567" w14:textId="77777777" w:rsidR="00E226E3" w:rsidRPr="00CB0B03" w:rsidRDefault="00E226E3" w:rsidP="00E226E3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1.978,25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83C05C" w14:textId="77777777" w:rsidR="00E226E3" w:rsidRPr="00CB0B03" w:rsidRDefault="00E226E3" w:rsidP="00E226E3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77717F" w14:textId="77777777" w:rsidR="00E226E3" w:rsidRPr="00CB0B03" w:rsidRDefault="00E226E3" w:rsidP="00E226E3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397,8</w:t>
            </w:r>
          </w:p>
        </w:tc>
      </w:tr>
    </w:tbl>
    <w:p w14:paraId="101C6AA7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lastRenderedPageBreak/>
        <w:t>Artigo 5º - Nos termos do artigo 18 da Lei Complementar nº 1.395, de 22 de dezembro de 2023, e do artigo 19 do Decreto nº 68.742, de 5 de agosto de 2024, no âmbito da Casa Civil inexistem:</w:t>
      </w:r>
    </w:p>
    <w:p w14:paraId="2D345446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CB0B03">
        <w:rPr>
          <w:rFonts w:ascii="Helvetica-Normal" w:hAnsi="Helvetica-Normal"/>
          <w:sz w:val="22"/>
          <w:szCs w:val="22"/>
        </w:rPr>
        <w:t>requisitos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complementares de preenchimento de cargos em comissão e funções de confiança;</w:t>
      </w:r>
    </w:p>
    <w:p w14:paraId="4B91BF78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CB0B03">
        <w:rPr>
          <w:rFonts w:ascii="Helvetica-Normal" w:hAnsi="Helvetica-Normal"/>
          <w:sz w:val="22"/>
          <w:szCs w:val="22"/>
        </w:rPr>
        <w:t>situações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em que haja lei específica de carreiras e correspondentes classes, de modo que não há obrigatoriedade de que determinados cargos sejam providos de forma privativa por servidores ou por integrantes de determinadas classes ou carreiras.</w:t>
      </w:r>
    </w:p>
    <w:p w14:paraId="316B47B8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6º - As gratificações, abonos, prêmios, "</w:t>
      </w:r>
      <w:proofErr w:type="gramStart"/>
      <w:r w:rsidRPr="00CB0B03">
        <w:rPr>
          <w:rFonts w:ascii="Helvetica-Normal" w:hAnsi="Helvetica-Normal"/>
          <w:sz w:val="22"/>
          <w:szCs w:val="22"/>
        </w:rPr>
        <w:t>pro labore</w:t>
      </w:r>
      <w:proofErr w:type="gramEnd"/>
      <w:r w:rsidRPr="00CB0B03">
        <w:rPr>
          <w:rFonts w:ascii="Helvetica-Normal" w:hAnsi="Helvetica-Normal"/>
          <w:sz w:val="22"/>
          <w:szCs w:val="22"/>
        </w:rPr>
        <w:t>" e adicionais incompatíveis com o regime de subsídios dos cargos em comissão, em atendimento ao disposto no artigo 13 da Lei Complementar nº 1.395, de 22 de dezembro de 2023, estão listadas no Anexo V-B deste decreto.</w:t>
      </w:r>
    </w:p>
    <w:p w14:paraId="7BAB319C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Parágrafo único - Nos casos de designações em FCESP e nas hipóteses de nomeação em CCESP em que a opção seja pela remuneração do cargo efetivo de origem acrescida do percentual de 60% (sessenta por cento) do valor do subsídio fixado para o respectivo cargo em comissão, deverá ser observado o disposto nos artigos 15 e 16 da Lei Complementar nº 1.395, de 22 de dezembro de 2023.</w:t>
      </w:r>
    </w:p>
    <w:p w14:paraId="719B30B8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7º - Os dispositivos adiante relacionados passam a vigorar com a seguinte redação:</w:t>
      </w:r>
    </w:p>
    <w:p w14:paraId="69A8F735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CB0B03">
        <w:rPr>
          <w:rFonts w:ascii="Helvetica-Normal" w:hAnsi="Helvetica-Normal"/>
          <w:sz w:val="22"/>
          <w:szCs w:val="22"/>
        </w:rPr>
        <w:t>do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51.704, de 26 de março de 2007, o artigo 4º:</w:t>
      </w:r>
    </w:p>
    <w:p w14:paraId="1220898B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"Artigo 4º - Os Requerimentos de Informação da Assembleia Legislativa do Estado, respondidos pelas áreas competentes da Administração Estadual, deverão ser encaminhados à Subsecretaria de Análise Governamental, da Casa Civil, em processo SEI específico.</w:t>
      </w:r>
    </w:p>
    <w:p w14:paraId="05495272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Parágrafo único - O processo SEI de que trata este artigo será instruído com manifestação conclusiva do Titular da Pasta a que os órgãos informantes estejam subordinados, nos termos do § 4º do artigo 4º do Decreto nº 62.106, de 15 de julho de 2016.";(NR)</w:t>
      </w:r>
    </w:p>
    <w:p w14:paraId="68EC94B0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CB0B03">
        <w:rPr>
          <w:rFonts w:ascii="Helvetica-Normal" w:hAnsi="Helvetica-Normal"/>
          <w:sz w:val="22"/>
          <w:szCs w:val="22"/>
        </w:rPr>
        <w:t>do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62.106, de 15 de julho de 2016, os §§ 3º a 5º do artigo 4º:</w:t>
      </w:r>
    </w:p>
    <w:p w14:paraId="57110365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“§ 3º - O Subsecretário de Análise Governamental, da Casa Civil, poderá, em situações específicas, não previstas neste artigo, fixar os respectivos prazos nos processos ou expedientes a serem encaminhados para prestação de informações.</w:t>
      </w:r>
    </w:p>
    <w:p w14:paraId="42BC2344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§ 4º - Aprovadas pelo Titular da Pasta, as informações, que deverão ser conclusivas quanto ao mérito, serão transmitidas à Subsecretaria de Análise Governamental, da Casa Civil.</w:t>
      </w:r>
    </w:p>
    <w:p w14:paraId="46A1BEEB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§ 5º - Sem prejuízo da competência da Subsecretaria de Análise Governamental, da Casa Civil, a Assessoria Técnico-Legislativa, na condição de órgão integrante da Procuradoria Geral do Estado incumbido do assessoramento jurídico ao </w:t>
      </w:r>
      <w:r w:rsidRPr="00CB0B03">
        <w:rPr>
          <w:rFonts w:ascii="Helvetica-Normal" w:hAnsi="Helvetica-Normal"/>
          <w:sz w:val="22"/>
          <w:szCs w:val="22"/>
        </w:rPr>
        <w:lastRenderedPageBreak/>
        <w:t>exercício das funções legislativas e normativas que a Constituição do Estado outorga ao Governador, poderá, quando necessário, encaminhar solicitações adicionais ou complementares, bem como reiterações e alertas quanto à observância dos prazos estabelecidos.</w:t>
      </w:r>
      <w:proofErr w:type="gramStart"/>
      <w:r w:rsidRPr="00CB0B03">
        <w:rPr>
          <w:rFonts w:ascii="Helvetica-Normal" w:hAnsi="Helvetica-Normal"/>
          <w:sz w:val="22"/>
          <w:szCs w:val="22"/>
        </w:rPr>
        <w:t>”.(</w:t>
      </w:r>
      <w:proofErr w:type="gramEnd"/>
      <w:r w:rsidRPr="00CB0B03">
        <w:rPr>
          <w:rFonts w:ascii="Helvetica-Normal" w:hAnsi="Helvetica-Normal"/>
          <w:sz w:val="22"/>
          <w:szCs w:val="22"/>
        </w:rPr>
        <w:t>NR)</w:t>
      </w:r>
    </w:p>
    <w:p w14:paraId="462627B2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8º - Fica acrescentado ao artigo 1º do Decreto nº 64.065, de 2 de janeiro de 2019, o § 3º, com a seguinte redação:</w:t>
      </w:r>
    </w:p>
    <w:p w14:paraId="40CDA7D6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"§ 3º - A Secretaria Executiva do Comitê Gestor do Gasto Público será exercida pela Subsecretaria de Articulação e Monitoramento, da Casa Civil.".</w:t>
      </w:r>
    </w:p>
    <w:p w14:paraId="2CACA438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9º - O Fundo Especial de Despesa do Departamento de Infraestrutura passa a denominar-se Fundo Especial de Despesa da Diretoria de Engenharia e Patrimônio.</w:t>
      </w:r>
    </w:p>
    <w:p w14:paraId="7624CC43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10 - Este decreto entra em vigor em 1º de dezembro de 2025, ficando revogadas as disposições em contrário, em especial:</w:t>
      </w:r>
    </w:p>
    <w:p w14:paraId="7CBD10F6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50.472, de 13 de janeiro de 2006;</w:t>
      </w:r>
    </w:p>
    <w:p w14:paraId="7C40997C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56.642, de 3 de janeiro de 2011;</w:t>
      </w:r>
    </w:p>
    <w:p w14:paraId="554D2E72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III - do Decreto nº 62.106, de 15 de julho de 2016, o artigo 6º;</w:t>
      </w:r>
    </w:p>
    <w:p w14:paraId="0CFBA3C2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64.063, de 1º de janeiro de 2019;</w:t>
      </w:r>
    </w:p>
    <w:p w14:paraId="2CC602E0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64.148, de 19 de março de 2019;</w:t>
      </w:r>
    </w:p>
    <w:p w14:paraId="43690419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VI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64.462, de 11 de setembro de 2019;</w:t>
      </w:r>
    </w:p>
    <w:p w14:paraId="2ECEF9D1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VII - o Decreto nº 66.016, de 15 de setembro de 2021;</w:t>
      </w:r>
    </w:p>
    <w:p w14:paraId="55528C62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VIII - o Decreto nº 66.017, de 15 de setembro de 2021;</w:t>
      </w:r>
    </w:p>
    <w:p w14:paraId="5AE0740D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IX - </w:t>
      </w:r>
      <w:proofErr w:type="gramStart"/>
      <w:r w:rsidRPr="00CB0B03">
        <w:rPr>
          <w:rFonts w:ascii="Helvetica-Normal" w:hAnsi="Helvetica-Normal"/>
          <w:sz w:val="22"/>
          <w:szCs w:val="22"/>
        </w:rPr>
        <w:t>do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69.760, de 31 de junho de 2025, o parágrafo único do artigo 19 do Anexo I.</w:t>
      </w:r>
    </w:p>
    <w:p w14:paraId="6FD0F880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TARCÍSIO DE FREITAS</w:t>
      </w:r>
    </w:p>
    <w:sectPr w:rsidR="00E226E3" w:rsidRPr="00CB0B03" w:rsidSect="00E226E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E3"/>
    <w:rsid w:val="007E77C1"/>
    <w:rsid w:val="0097650E"/>
    <w:rsid w:val="00E226E3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8B76"/>
  <w15:chartTrackingRefBased/>
  <w15:docId w15:val="{30FD9092-E3DF-4D1D-A5EC-6A517A2F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E3"/>
  </w:style>
  <w:style w:type="paragraph" w:styleId="Ttulo1">
    <w:name w:val="heading 1"/>
    <w:basedOn w:val="Normal"/>
    <w:next w:val="Normal"/>
    <w:link w:val="Ttulo1Char"/>
    <w:uiPriority w:val="9"/>
    <w:qFormat/>
    <w:rsid w:val="00E22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2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2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2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2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2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2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2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2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2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2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2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26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26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26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26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26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26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2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2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2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2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2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26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26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26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2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26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2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1042</Words>
  <Characters>5023</Characters>
  <Application>Microsoft Office Word</Application>
  <DocSecurity>0</DocSecurity>
  <Lines>76</Lines>
  <Paragraphs>61</Paragraphs>
  <ScaleCrop>false</ScaleCrop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2025-11-06T14:24:00Z</dcterms:created>
  <dcterms:modified xsi:type="dcterms:W3CDTF">2025-11-06T14:28:00Z</dcterms:modified>
</cp:coreProperties>
</file>